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E190" w14:textId="77777777" w:rsidR="00E74ABB" w:rsidRPr="00B67355" w:rsidRDefault="004335E6" w:rsidP="00434E49">
      <w:pPr>
        <w:framePr w:w="5790" w:h="1261" w:hRule="exact" w:wrap="around" w:vAnchor="page" w:hAnchor="page" w:x="1336" w:y="631" w:anchorLock="1"/>
        <w:shd w:val="solid" w:color="FFFFFF" w:fill="FFFFFF"/>
        <w:ind w:left="4230" w:right="-150"/>
      </w:pPr>
      <w:r>
        <w:rPr>
          <w:noProof/>
        </w:rPr>
        <w:drawing>
          <wp:inline distT="0" distB="0" distL="0" distR="0" wp14:anchorId="38F38073" wp14:editId="7093990F">
            <wp:extent cx="731520" cy="731520"/>
            <wp:effectExtent l="0" t="0" r="0" b="0"/>
            <wp:docPr id="3" name="Picture 3" descr="http://www.judicialethicsopinions.ca.gov/sites/default/files/2013_SupremeCourtSeal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dicialethicsopinions.ca.gov/sites/default/files/2013_SupremeCourtSeal_s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14:paraId="223D417B" w14:textId="77777777" w:rsidR="00DD1CB2" w:rsidRDefault="00DD1CB2" w:rsidP="005E75C3">
      <w:pPr>
        <w:jc w:val="center"/>
        <w:rPr>
          <w:rFonts w:ascii="Goudy Old Style" w:hAnsi="Goudy Old Style"/>
          <w:b/>
          <w:sz w:val="20"/>
        </w:rPr>
      </w:pPr>
    </w:p>
    <w:p w14:paraId="2305E261" w14:textId="77777777" w:rsidR="00DD1CB2" w:rsidRDefault="00DD1CB2" w:rsidP="005E75C3">
      <w:pPr>
        <w:jc w:val="center"/>
        <w:rPr>
          <w:rFonts w:ascii="Goudy Old Style" w:hAnsi="Goudy Old Style"/>
          <w:b/>
          <w:sz w:val="20"/>
        </w:rPr>
      </w:pPr>
    </w:p>
    <w:p w14:paraId="33CA5CC9" w14:textId="77777777" w:rsidR="00DD1CB2" w:rsidRDefault="00DD1CB2" w:rsidP="005E75C3">
      <w:pPr>
        <w:jc w:val="center"/>
        <w:rPr>
          <w:rFonts w:ascii="Goudy Old Style" w:hAnsi="Goudy Old Style"/>
          <w:b/>
          <w:sz w:val="20"/>
        </w:rPr>
      </w:pPr>
    </w:p>
    <w:p w14:paraId="755651AD" w14:textId="77777777" w:rsidR="00DD1CB2" w:rsidRDefault="00DD1CB2" w:rsidP="005E75C3">
      <w:pPr>
        <w:jc w:val="center"/>
        <w:rPr>
          <w:rFonts w:ascii="Goudy Old Style" w:hAnsi="Goudy Old Style"/>
          <w:b/>
          <w:sz w:val="20"/>
        </w:rPr>
      </w:pPr>
    </w:p>
    <w:p w14:paraId="0B883EB4" w14:textId="77777777" w:rsidR="00DD1CB2" w:rsidRDefault="00DD1CB2" w:rsidP="005E75C3">
      <w:pPr>
        <w:jc w:val="center"/>
        <w:rPr>
          <w:rFonts w:ascii="Goudy Old Style" w:hAnsi="Goudy Old Style"/>
          <w:b/>
          <w:sz w:val="20"/>
        </w:rPr>
      </w:pPr>
    </w:p>
    <w:p w14:paraId="04DA45C1" w14:textId="77777777" w:rsidR="005E75C3" w:rsidRPr="005E75C3" w:rsidRDefault="005E75C3" w:rsidP="005E75C3">
      <w:pPr>
        <w:jc w:val="center"/>
        <w:rPr>
          <w:rFonts w:ascii="Goudy Old Style" w:hAnsi="Goudy Old Style"/>
          <w:b/>
          <w:sz w:val="20"/>
        </w:rPr>
      </w:pPr>
      <w:r w:rsidRPr="005E75C3">
        <w:rPr>
          <w:rFonts w:ascii="Goudy Old Style" w:hAnsi="Goudy Old Style"/>
          <w:b/>
          <w:sz w:val="20"/>
        </w:rPr>
        <w:t>Supreme Court of California</w:t>
      </w:r>
    </w:p>
    <w:p w14:paraId="44B29FBB" w14:textId="77777777" w:rsidR="005E75C3" w:rsidRPr="005E75C3" w:rsidRDefault="005E75C3" w:rsidP="005E75C3">
      <w:pPr>
        <w:jc w:val="center"/>
        <w:rPr>
          <w:rFonts w:ascii="Goudy Old Style" w:hAnsi="Goudy Old Style"/>
          <w:sz w:val="20"/>
        </w:rPr>
      </w:pPr>
      <w:r w:rsidRPr="005E75C3">
        <w:rPr>
          <w:rFonts w:ascii="Goudy Old Style" w:hAnsi="Goudy Old Style"/>
          <w:sz w:val="20"/>
        </w:rPr>
        <w:t>350 McAllister Street, San Francisco, CA 94102-4797</w:t>
      </w:r>
    </w:p>
    <w:p w14:paraId="13A69FA1" w14:textId="77777777" w:rsidR="005E75C3" w:rsidRPr="00E74ABB" w:rsidRDefault="005E75C3" w:rsidP="00D8656D">
      <w:pPr>
        <w:shd w:val="solid" w:color="FFFFFF" w:fill="FFFFFF"/>
        <w:spacing w:line="240" w:lineRule="exact"/>
        <w:jc w:val="center"/>
        <w:rPr>
          <w:rFonts w:ascii="Goudy Old Style" w:hAnsi="Goudy Old Style"/>
          <w:sz w:val="20"/>
        </w:rPr>
      </w:pPr>
      <w:r w:rsidRPr="007706C2">
        <w:rPr>
          <w:rFonts w:ascii="Goudy Old Style" w:hAnsi="Goudy Old Style"/>
          <w:i/>
          <w:sz w:val="20"/>
        </w:rPr>
        <w:t>www.courts.ca.gov/supremecourt</w:t>
      </w:r>
    </w:p>
    <w:p w14:paraId="7A469D08" w14:textId="77777777" w:rsidR="00B83746" w:rsidRDefault="00B83746" w:rsidP="00E74ABB">
      <w:pPr>
        <w:shd w:val="solid" w:color="FFFFFF" w:fill="FFFFFF"/>
        <w:spacing w:line="240" w:lineRule="exact"/>
        <w:rPr>
          <w:rFonts w:ascii="Goudy Old Style" w:hAnsi="Goudy Old Style"/>
          <w:sz w:val="20"/>
        </w:rPr>
        <w:sectPr w:rsidR="00B83746" w:rsidSect="0025126D">
          <w:headerReference w:type="default" r:id="rId9"/>
          <w:pgSz w:w="12240" w:h="15840" w:code="1"/>
          <w:pgMar w:top="720" w:right="1440" w:bottom="1440" w:left="1440" w:header="720" w:footer="720" w:gutter="0"/>
          <w:cols w:space="720"/>
          <w:titlePg/>
          <w:docGrid w:linePitch="360"/>
        </w:sectPr>
      </w:pPr>
    </w:p>
    <w:p w14:paraId="020328EE" w14:textId="77777777" w:rsidR="00707419" w:rsidRDefault="00707419"/>
    <w:p w14:paraId="4E45F107" w14:textId="77777777" w:rsidR="00E74ABB" w:rsidRDefault="00A665F9" w:rsidP="00A96098">
      <w:pPr>
        <w:shd w:val="solid" w:color="FFFFFF" w:fill="FFFFFF"/>
        <w:tabs>
          <w:tab w:val="right" w:pos="9360"/>
        </w:tabs>
        <w:spacing w:line="240" w:lineRule="exact"/>
        <w:rPr>
          <w:rFonts w:ascii="Franklin Gothic Demi" w:hAnsi="Franklin Gothic Demi"/>
          <w:szCs w:val="24"/>
        </w:rPr>
      </w:pPr>
      <w:bookmarkStart w:id="0" w:name="bmReleaseType"/>
      <w:bookmarkEnd w:id="0"/>
      <w:r>
        <w:rPr>
          <w:rFonts w:ascii="Franklin Gothic Demi" w:hAnsi="Franklin Gothic Demi"/>
          <w:caps/>
        </w:rPr>
        <w:t>NEWS RELEASE</w:t>
      </w:r>
      <w:r w:rsidR="00A96098">
        <w:rPr>
          <w:rFonts w:ascii="Franklin Gothic Demi" w:hAnsi="Franklin Gothic Demi"/>
          <w:caps/>
        </w:rPr>
        <w:tab/>
      </w:r>
      <w:r w:rsidR="00A96098" w:rsidRPr="004826D5">
        <w:rPr>
          <w:rFonts w:ascii="Franklin Gothic Demi" w:hAnsi="Franklin Gothic Demi"/>
          <w:caps/>
        </w:rPr>
        <w:t>FOR IMMEDIATE RELEASE</w:t>
      </w:r>
    </w:p>
    <w:p w14:paraId="6C3C66B8" w14:textId="5873E9E8" w:rsidR="00E74ABB" w:rsidRDefault="00E74ABB" w:rsidP="00A96098">
      <w:pPr>
        <w:pStyle w:val="ReleaseContact"/>
        <w:tabs>
          <w:tab w:val="right" w:pos="9360"/>
        </w:tabs>
      </w:pPr>
      <w:r w:rsidRPr="00524060">
        <w:t>Contact:</w:t>
      </w:r>
      <w:r w:rsidRPr="00524060">
        <w:tab/>
      </w:r>
      <w:bookmarkStart w:id="1" w:name="bmContact"/>
      <w:bookmarkEnd w:id="1"/>
      <w:r w:rsidR="00680D05" w:rsidRPr="00A665F9">
        <w:rPr>
          <w:rStyle w:val="Hyperlink"/>
        </w:rPr>
        <w:fldChar w:fldCharType="begin"/>
      </w:r>
      <w:r w:rsidR="00A665F9" w:rsidRPr="00A665F9">
        <w:rPr>
          <w:rStyle w:val="Hyperlink"/>
        </w:rPr>
        <w:instrText xml:space="preserve"> HYPERLINK "mailto:cathal.conneely@jud.ca.gov" </w:instrText>
      </w:r>
      <w:r w:rsidR="00680D05" w:rsidRPr="00A665F9">
        <w:rPr>
          <w:rStyle w:val="Hyperlink"/>
        </w:rPr>
        <w:fldChar w:fldCharType="separate"/>
      </w:r>
      <w:r w:rsidR="00A83AB8">
        <w:rPr>
          <w:rStyle w:val="Hyperlink"/>
        </w:rPr>
        <w:t>Merrill</w:t>
      </w:r>
      <w:r w:rsidR="00680D05" w:rsidRPr="00A665F9">
        <w:rPr>
          <w:rStyle w:val="Hyperlink"/>
        </w:rPr>
        <w:fldChar w:fldCharType="end"/>
      </w:r>
      <w:r w:rsidR="00A83AB8">
        <w:rPr>
          <w:rStyle w:val="Hyperlink"/>
        </w:rPr>
        <w:t xml:space="preserve"> </w:t>
      </w:r>
      <w:hyperlink r:id="rId10" w:history="1">
        <w:r w:rsidR="00A83AB8" w:rsidRPr="00A83AB8">
          <w:rPr>
            <w:rStyle w:val="Hyperlink"/>
          </w:rPr>
          <w:t>Balassone</w:t>
        </w:r>
      </w:hyperlink>
      <w:r w:rsidR="00A665F9">
        <w:t>, 415-865-7740</w:t>
      </w:r>
      <w:r w:rsidR="00A96098">
        <w:tab/>
      </w:r>
      <w:bookmarkStart w:id="2" w:name="bmReleaseDate"/>
      <w:bookmarkEnd w:id="2"/>
      <w:r w:rsidR="00B359CB">
        <w:t>November 23</w:t>
      </w:r>
      <w:r w:rsidR="005A16BB" w:rsidRPr="00472796">
        <w:t>, 202</w:t>
      </w:r>
      <w:r w:rsidR="0026681F" w:rsidRPr="00472796">
        <w:t>2</w:t>
      </w:r>
    </w:p>
    <w:p w14:paraId="643D9521" w14:textId="77777777" w:rsidR="00AA00E8" w:rsidRDefault="008F07EB" w:rsidP="00AA00E8">
      <w:pPr>
        <w:rPr>
          <w:rFonts w:ascii="Cambria" w:hAnsi="Cambria"/>
          <w:b/>
          <w:sz w:val="44"/>
        </w:rPr>
      </w:pPr>
      <w:r>
        <w:rPr>
          <w:noProof/>
        </w:rPr>
        <mc:AlternateContent>
          <mc:Choice Requires="wps">
            <w:drawing>
              <wp:anchor distT="4294967294" distB="4294967294" distL="114300" distR="114300" simplePos="0" relativeHeight="251659264" behindDoc="0" locked="0" layoutInCell="1" allowOverlap="1" wp14:anchorId="6963DA1E" wp14:editId="36B3B2E6">
                <wp:simplePos x="0" y="0"/>
                <wp:positionH relativeFrom="column">
                  <wp:posOffset>9525</wp:posOffset>
                </wp:positionH>
                <wp:positionV relativeFrom="paragraph">
                  <wp:posOffset>147319</wp:posOffset>
                </wp:positionV>
                <wp:extent cx="588645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BD328" id="_x0000_t32" coordsize="21600,21600" o:spt="32" o:oned="t" path="m,l21600,21600e" filled="f">
                <v:path arrowok="t" fillok="f" o:connecttype="none"/>
                <o:lock v:ext="edit" shapetype="t"/>
              </v:shapetype>
              <v:shape id="AutoShape 2" o:spid="_x0000_s1026" type="#_x0000_t32" style="position:absolute;margin-left:.75pt;margin-top:11.6pt;width:463.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" strokeweight="1pt"/>
            </w:pict>
          </mc:Fallback>
        </mc:AlternateContent>
      </w:r>
    </w:p>
    <w:p w14:paraId="298F0F99" w14:textId="33687B75" w:rsidR="00B3772E" w:rsidRPr="00B577F5" w:rsidRDefault="00A665F9" w:rsidP="000E0E19">
      <w:pPr>
        <w:ind w:left="-144" w:right="-144"/>
        <w:jc w:val="center"/>
        <w:rPr>
          <w:rFonts w:ascii="Georgia" w:hAnsi="Georgia"/>
          <w:b/>
          <w:color w:val="000000" w:themeColor="text1"/>
          <w:sz w:val="34"/>
          <w:szCs w:val="34"/>
        </w:rPr>
      </w:pPr>
      <w:bookmarkStart w:id="3" w:name="bmReleaseHead"/>
      <w:bookmarkEnd w:id="3"/>
      <w:r w:rsidRPr="00B577F5">
        <w:rPr>
          <w:rFonts w:ascii="Georgia" w:hAnsi="Georgia"/>
          <w:b/>
          <w:color w:val="000000" w:themeColor="text1"/>
          <w:sz w:val="34"/>
          <w:szCs w:val="34"/>
        </w:rPr>
        <w:t xml:space="preserve">Summary of Cases Accepted and </w:t>
      </w:r>
      <w:r w:rsidRPr="00B577F5">
        <w:rPr>
          <w:rFonts w:ascii="Georgia" w:hAnsi="Georgia"/>
          <w:b/>
          <w:color w:val="000000" w:themeColor="text1"/>
          <w:sz w:val="34"/>
          <w:szCs w:val="34"/>
        </w:rPr>
        <w:br/>
        <w:t xml:space="preserve">Related Actions During Week of </w:t>
      </w:r>
      <w:r w:rsidR="00B359CB">
        <w:rPr>
          <w:rFonts w:ascii="Georgia" w:hAnsi="Georgia"/>
          <w:b/>
          <w:color w:val="000000" w:themeColor="text1"/>
          <w:sz w:val="34"/>
          <w:szCs w:val="34"/>
        </w:rPr>
        <w:t>November 21</w:t>
      </w:r>
      <w:r w:rsidR="000E0E19" w:rsidRPr="00B577F5">
        <w:rPr>
          <w:rFonts w:ascii="Georgia" w:hAnsi="Georgia"/>
          <w:b/>
          <w:color w:val="000000" w:themeColor="text1"/>
          <w:sz w:val="34"/>
          <w:szCs w:val="34"/>
        </w:rPr>
        <w:t>, 202</w:t>
      </w:r>
      <w:r w:rsidR="0026681F" w:rsidRPr="00B577F5">
        <w:rPr>
          <w:rFonts w:ascii="Georgia" w:hAnsi="Georgia"/>
          <w:b/>
          <w:color w:val="000000" w:themeColor="text1"/>
          <w:sz w:val="34"/>
          <w:szCs w:val="34"/>
        </w:rPr>
        <w:t>2</w:t>
      </w:r>
    </w:p>
    <w:p w14:paraId="705616AD" w14:textId="77777777" w:rsidR="005C28F4" w:rsidRPr="00B3772E" w:rsidRDefault="005C28F4" w:rsidP="00B3772E">
      <w:pPr>
        <w:ind w:left="-144" w:right="-144"/>
        <w:rPr>
          <w:rFonts w:ascii="Georgia" w:hAnsi="Georgia"/>
          <w:b/>
          <w:color w:val="000000" w:themeColor="text1"/>
          <w:szCs w:val="24"/>
        </w:rPr>
      </w:pPr>
    </w:p>
    <w:p w14:paraId="7FAB1666" w14:textId="3B7C8FED" w:rsidR="00A83AB8" w:rsidRDefault="00B3772E" w:rsidP="000566B9">
      <w:pPr>
        <w:pStyle w:val="ReleaseText"/>
        <w:spacing w:line="240" w:lineRule="auto"/>
        <w:rPr>
          <w:i/>
          <w:szCs w:val="26"/>
        </w:rPr>
      </w:pPr>
      <w:r w:rsidRPr="00830740">
        <w:rPr>
          <w:i/>
          <w:szCs w:val="26"/>
        </w:rPr>
        <w:t>[This news release is issued to inform the public and the press of cases that the Supreme Court has accepted and of their general subject matter.  The statement of the issue or issues in each case set out below does not necessarily reflect the view of the court, or define the specific issues that will be addressed by the court.]</w:t>
      </w:r>
    </w:p>
    <w:p w14:paraId="34AA4ACB" w14:textId="77777777" w:rsidR="000566B9" w:rsidRDefault="000566B9" w:rsidP="000566B9">
      <w:pPr>
        <w:pStyle w:val="ReleaseText"/>
        <w:spacing w:line="240" w:lineRule="auto"/>
        <w:rPr>
          <w:i/>
          <w:szCs w:val="26"/>
        </w:rPr>
      </w:pPr>
    </w:p>
    <w:p w14:paraId="17627E37" w14:textId="2AF67DE3" w:rsidR="00B359CB" w:rsidRPr="004B5B10" w:rsidRDefault="00B359CB" w:rsidP="004B5B10">
      <w:pPr>
        <w:pStyle w:val="body"/>
        <w:tabs>
          <w:tab w:val="clear" w:pos="1440"/>
          <w:tab w:val="left" w:pos="1980"/>
        </w:tabs>
        <w:spacing w:after="320" w:line="300" w:lineRule="atLeast"/>
        <w:ind w:firstLine="0"/>
        <w:rPr>
          <w:rFonts w:asciiTheme="minorHAnsi" w:hAnsiTheme="minorHAnsi" w:cstheme="minorHAnsi"/>
          <w:szCs w:val="26"/>
        </w:rPr>
      </w:pPr>
      <w:r w:rsidRPr="004B5B10">
        <w:rPr>
          <w:rFonts w:asciiTheme="minorHAnsi" w:hAnsiTheme="minorHAnsi" w:cstheme="minorHAnsi"/>
          <w:b/>
          <w:bCs/>
          <w:szCs w:val="26"/>
        </w:rPr>
        <w:t>#22-297</w:t>
      </w:r>
      <w:r w:rsidRPr="004B5B10">
        <w:rPr>
          <w:rFonts w:asciiTheme="minorHAnsi" w:hAnsiTheme="minorHAnsi" w:cstheme="minorHAnsi"/>
          <w:b/>
          <w:bCs/>
          <w:szCs w:val="26"/>
        </w:rPr>
        <w:t xml:space="preserve">  </w:t>
      </w:r>
      <w:r w:rsidRPr="004B5B10">
        <w:rPr>
          <w:rFonts w:asciiTheme="minorHAnsi" w:hAnsiTheme="minorHAnsi" w:cstheme="minorHAnsi"/>
          <w:b/>
          <w:bCs/>
          <w:i/>
          <w:iCs/>
          <w:szCs w:val="26"/>
        </w:rPr>
        <w:t>People v. Brown</w:t>
      </w:r>
      <w:r w:rsidRPr="004B5B10">
        <w:rPr>
          <w:rFonts w:asciiTheme="minorHAnsi" w:hAnsiTheme="minorHAnsi" w:cstheme="minorHAnsi"/>
          <w:b/>
          <w:bCs/>
          <w:iCs/>
          <w:szCs w:val="26"/>
        </w:rPr>
        <w:t xml:space="preserve">, </w:t>
      </w:r>
      <w:r w:rsidRPr="004B5B10">
        <w:rPr>
          <w:rStyle w:val="Title28"/>
          <w:rFonts w:asciiTheme="minorHAnsi" w:hAnsiTheme="minorHAnsi" w:cstheme="minorHAnsi"/>
          <w:b/>
          <w:bCs/>
          <w:szCs w:val="26"/>
        </w:rPr>
        <w:t>S276874</w:t>
      </w:r>
      <w:r w:rsidRPr="004B5B10">
        <w:rPr>
          <w:rFonts w:asciiTheme="minorHAnsi" w:hAnsiTheme="minorHAnsi" w:cstheme="minorHAnsi"/>
          <w:b/>
          <w:bCs/>
          <w:iCs/>
          <w:szCs w:val="26"/>
        </w:rPr>
        <w:t>.</w:t>
      </w:r>
      <w:r w:rsidRPr="004B5B10">
        <w:rPr>
          <w:rFonts w:asciiTheme="minorHAnsi" w:hAnsiTheme="minorHAnsi" w:cstheme="minorHAnsi"/>
          <w:iCs/>
          <w:szCs w:val="26"/>
        </w:rPr>
        <w:t xml:space="preserve">  (</w:t>
      </w:r>
      <w:r w:rsidRPr="004B5B10">
        <w:rPr>
          <w:rStyle w:val="right"/>
          <w:rFonts w:asciiTheme="minorHAnsi" w:hAnsiTheme="minorHAnsi" w:cstheme="minorHAnsi"/>
          <w:szCs w:val="26"/>
        </w:rPr>
        <w:t>E079192</w:t>
      </w:r>
      <w:r w:rsidRPr="004B5B10">
        <w:rPr>
          <w:rFonts w:asciiTheme="minorHAnsi" w:hAnsiTheme="minorHAnsi" w:cstheme="minorHAnsi"/>
          <w:iCs/>
          <w:szCs w:val="26"/>
        </w:rPr>
        <w:t xml:space="preserve">; nonpublished opinion; </w:t>
      </w:r>
      <w:r w:rsidRPr="004B5B10">
        <w:rPr>
          <w:rFonts w:asciiTheme="minorHAnsi" w:hAnsiTheme="minorHAnsi" w:cstheme="minorHAnsi"/>
          <w:szCs w:val="26"/>
        </w:rPr>
        <w:t xml:space="preserve">Riverside </w:t>
      </w:r>
      <w:r w:rsidRPr="004B5B10">
        <w:rPr>
          <w:rFonts w:asciiTheme="minorHAnsi" w:hAnsiTheme="minorHAnsi" w:cstheme="minorHAnsi"/>
          <w:iCs/>
          <w:szCs w:val="26"/>
        </w:rPr>
        <w:t xml:space="preserve">County Superior Court; </w:t>
      </w:r>
      <w:r w:rsidRPr="004B5B10">
        <w:rPr>
          <w:rFonts w:asciiTheme="minorHAnsi" w:hAnsiTheme="minorHAnsi" w:cstheme="minorHAnsi"/>
          <w:szCs w:val="26"/>
        </w:rPr>
        <w:t>RIF1409333</w:t>
      </w:r>
      <w:r w:rsidRPr="004B5B10">
        <w:rPr>
          <w:rFonts w:asciiTheme="minorHAnsi" w:hAnsiTheme="minorHAnsi" w:cstheme="minorHAnsi"/>
          <w:iCs/>
          <w:szCs w:val="26"/>
        </w:rPr>
        <w:t xml:space="preserve">.)  </w:t>
      </w:r>
      <w:r w:rsidRPr="004B5B10">
        <w:rPr>
          <w:rFonts w:asciiTheme="minorHAnsi" w:hAnsiTheme="minorHAnsi" w:cstheme="minorHAnsi"/>
          <w:szCs w:val="26"/>
        </w:rPr>
        <w:t xml:space="preserve">Petition for review after the Court of Appeal dismissed an appeal from an order denying a post-judgment motion in a criminal matter.  The court ordered briefing deferred pending decision in </w:t>
      </w:r>
      <w:r w:rsidRPr="004B5B10">
        <w:rPr>
          <w:rFonts w:asciiTheme="minorHAnsi" w:hAnsiTheme="minorHAnsi" w:cstheme="minorHAnsi"/>
          <w:i/>
          <w:iCs/>
          <w:szCs w:val="26"/>
        </w:rPr>
        <w:t>People v. Delgadillo</w:t>
      </w:r>
      <w:r w:rsidRPr="004B5B10">
        <w:rPr>
          <w:rFonts w:asciiTheme="minorHAnsi" w:hAnsiTheme="minorHAnsi" w:cstheme="minorHAnsi"/>
          <w:szCs w:val="26"/>
        </w:rPr>
        <w:t>, S266305 (#21-72), which presents the following issues:  (1) What procedures must appointed counsel and the Courts of Appeal follow when counsel determines that an appeal from an order denying postconviction relief lacks arguable merit?  (2) Are defendants entitled to notice of these procedures?</w:t>
      </w:r>
    </w:p>
    <w:p w14:paraId="3890AF4A" w14:textId="0CBD14FE" w:rsidR="00B359CB" w:rsidRPr="004B5B10" w:rsidRDefault="00B359CB" w:rsidP="004B5B10">
      <w:pPr>
        <w:pStyle w:val="body"/>
        <w:tabs>
          <w:tab w:val="left" w:pos="1980"/>
        </w:tabs>
        <w:spacing w:after="320" w:line="300" w:lineRule="atLeast"/>
        <w:ind w:firstLine="0"/>
        <w:rPr>
          <w:rFonts w:asciiTheme="minorHAnsi" w:hAnsiTheme="minorHAnsi" w:cstheme="minorHAnsi"/>
          <w:szCs w:val="26"/>
        </w:rPr>
      </w:pPr>
      <w:r w:rsidRPr="004B5B10">
        <w:rPr>
          <w:rFonts w:asciiTheme="minorHAnsi" w:hAnsiTheme="minorHAnsi" w:cstheme="minorHAnsi"/>
          <w:b/>
          <w:bCs/>
          <w:iCs/>
          <w:szCs w:val="26"/>
        </w:rPr>
        <w:t>#22-298</w:t>
      </w:r>
      <w:r w:rsidRPr="004B5B10">
        <w:rPr>
          <w:rFonts w:asciiTheme="minorHAnsi" w:hAnsiTheme="minorHAnsi" w:cstheme="minorHAnsi"/>
          <w:b/>
          <w:bCs/>
          <w:iCs/>
          <w:szCs w:val="26"/>
        </w:rPr>
        <w:t xml:space="preserve">  </w:t>
      </w:r>
      <w:r w:rsidRPr="004B5B10">
        <w:rPr>
          <w:rFonts w:asciiTheme="minorHAnsi" w:hAnsiTheme="minorHAnsi" w:cstheme="minorHAnsi"/>
          <w:b/>
          <w:bCs/>
          <w:i/>
          <w:iCs/>
          <w:szCs w:val="26"/>
        </w:rPr>
        <w:t>People v. Fuller</w:t>
      </w:r>
      <w:r w:rsidRPr="004B5B10">
        <w:rPr>
          <w:rFonts w:asciiTheme="minorHAnsi" w:hAnsiTheme="minorHAnsi" w:cstheme="minorHAnsi"/>
          <w:b/>
          <w:bCs/>
          <w:iCs/>
          <w:szCs w:val="26"/>
        </w:rPr>
        <w:t xml:space="preserve">, </w:t>
      </w:r>
      <w:r w:rsidRPr="004B5B10">
        <w:rPr>
          <w:rStyle w:val="Title28"/>
          <w:rFonts w:asciiTheme="minorHAnsi" w:hAnsiTheme="minorHAnsi" w:cstheme="minorHAnsi"/>
          <w:b/>
          <w:bCs/>
          <w:szCs w:val="26"/>
        </w:rPr>
        <w:t>S276762</w:t>
      </w:r>
      <w:r w:rsidRPr="004B5B10">
        <w:rPr>
          <w:rFonts w:asciiTheme="minorHAnsi" w:hAnsiTheme="minorHAnsi" w:cstheme="minorHAnsi"/>
          <w:b/>
          <w:bCs/>
          <w:iCs/>
          <w:szCs w:val="26"/>
        </w:rPr>
        <w:t>.</w:t>
      </w:r>
      <w:r w:rsidRPr="004B5B10">
        <w:rPr>
          <w:rFonts w:asciiTheme="minorHAnsi" w:hAnsiTheme="minorHAnsi" w:cstheme="minorHAnsi"/>
          <w:iCs/>
          <w:szCs w:val="26"/>
        </w:rPr>
        <w:t xml:space="preserve">  (</w:t>
      </w:r>
      <w:r w:rsidRPr="004B5B10">
        <w:rPr>
          <w:rStyle w:val="right"/>
          <w:rFonts w:asciiTheme="minorHAnsi" w:hAnsiTheme="minorHAnsi" w:cstheme="minorHAnsi"/>
          <w:szCs w:val="26"/>
        </w:rPr>
        <w:t>E071794</w:t>
      </w:r>
      <w:r w:rsidRPr="004B5B10">
        <w:rPr>
          <w:rFonts w:asciiTheme="minorHAnsi" w:hAnsiTheme="minorHAnsi" w:cstheme="minorHAnsi"/>
          <w:iCs/>
          <w:szCs w:val="26"/>
        </w:rPr>
        <w:t xml:space="preserve">; 83 Cal.App.5th 394; </w:t>
      </w:r>
      <w:r w:rsidRPr="004B5B10">
        <w:rPr>
          <w:rFonts w:asciiTheme="minorHAnsi" w:hAnsiTheme="minorHAnsi" w:cstheme="minorHAnsi"/>
          <w:szCs w:val="26"/>
        </w:rPr>
        <w:t xml:space="preserve">Riverside </w:t>
      </w:r>
      <w:r w:rsidRPr="004B5B10">
        <w:rPr>
          <w:rFonts w:asciiTheme="minorHAnsi" w:hAnsiTheme="minorHAnsi" w:cstheme="minorHAnsi"/>
          <w:iCs/>
          <w:szCs w:val="26"/>
        </w:rPr>
        <w:t xml:space="preserve">County Superior Court; </w:t>
      </w:r>
      <w:r w:rsidRPr="004B5B10">
        <w:rPr>
          <w:rFonts w:asciiTheme="minorHAnsi" w:hAnsiTheme="minorHAnsi" w:cstheme="minorHAnsi"/>
          <w:szCs w:val="26"/>
        </w:rPr>
        <w:t>RIF1701359</w:t>
      </w:r>
      <w:r w:rsidRPr="004B5B10">
        <w:rPr>
          <w:rFonts w:asciiTheme="minorHAnsi" w:hAnsiTheme="minorHAnsi" w:cstheme="minorHAnsi"/>
          <w:iCs/>
          <w:szCs w:val="26"/>
        </w:rPr>
        <w:t xml:space="preserve">.)  </w:t>
      </w:r>
      <w:r w:rsidRPr="004B5B10">
        <w:rPr>
          <w:rFonts w:asciiTheme="minorHAnsi" w:hAnsiTheme="minorHAnsi" w:cstheme="minorHAnsi"/>
          <w:szCs w:val="26"/>
        </w:rPr>
        <w:t>Petition for review after the Court of Appeal affirmed in part and reversed in part a judgment of conviction of criminal offenses and remanded for further proceedings.</w:t>
      </w:r>
      <w:r w:rsidRPr="004B5B10">
        <w:rPr>
          <w:rFonts w:asciiTheme="minorHAnsi" w:hAnsiTheme="minorHAnsi" w:cstheme="minorHAnsi"/>
          <w:iCs/>
          <w:szCs w:val="26"/>
        </w:rPr>
        <w:t xml:space="preserve">  </w:t>
      </w:r>
      <w:r w:rsidRPr="004B5B10">
        <w:rPr>
          <w:rFonts w:asciiTheme="minorHAnsi" w:hAnsiTheme="minorHAnsi" w:cstheme="minorHAnsi"/>
          <w:szCs w:val="26"/>
        </w:rPr>
        <w:t xml:space="preserve">The court ordered briefing deferred pending decision in </w:t>
      </w:r>
      <w:r w:rsidRPr="004B5B10">
        <w:rPr>
          <w:rFonts w:asciiTheme="minorHAnsi" w:hAnsiTheme="minorHAnsi" w:cstheme="minorHAnsi"/>
          <w:i/>
          <w:szCs w:val="26"/>
        </w:rPr>
        <w:t>People v. McDavid</w:t>
      </w:r>
      <w:r w:rsidRPr="004B5B10">
        <w:rPr>
          <w:rFonts w:asciiTheme="minorHAnsi" w:hAnsiTheme="minorHAnsi" w:cstheme="minorHAnsi"/>
          <w:iCs/>
          <w:szCs w:val="26"/>
        </w:rPr>
        <w:t xml:space="preserve">, </w:t>
      </w:r>
      <w:r w:rsidRPr="004B5B10">
        <w:rPr>
          <w:rFonts w:asciiTheme="minorHAnsi" w:hAnsiTheme="minorHAnsi" w:cstheme="minorHAnsi"/>
          <w:color w:val="000000"/>
          <w:szCs w:val="26"/>
        </w:rPr>
        <w:t>S275940</w:t>
      </w:r>
      <w:r w:rsidRPr="004B5B10">
        <w:rPr>
          <w:rFonts w:asciiTheme="minorHAnsi" w:hAnsiTheme="minorHAnsi" w:cstheme="minorHAnsi"/>
          <w:szCs w:val="26"/>
        </w:rPr>
        <w:t xml:space="preserve"> (#22-261), which presents the following issue:  Does the trial court have discretion to strike a firearm enhancement imposed pursuant to Penal Code section 12022.53 and instead impose a lesser uncharged firearm enhancement pursuant to a different statute (Pen. Code, § 12022.5)?</w:t>
      </w:r>
    </w:p>
    <w:p w14:paraId="21A18346" w14:textId="2D574EF6" w:rsidR="00B359CB" w:rsidRPr="004B5B10" w:rsidRDefault="00B359CB" w:rsidP="004B5B10">
      <w:pPr>
        <w:pStyle w:val="body"/>
        <w:tabs>
          <w:tab w:val="left" w:pos="1980"/>
        </w:tabs>
        <w:spacing w:after="320" w:line="300" w:lineRule="atLeast"/>
        <w:ind w:firstLine="0"/>
        <w:rPr>
          <w:rFonts w:asciiTheme="minorHAnsi" w:hAnsiTheme="minorHAnsi" w:cstheme="minorHAnsi"/>
          <w:szCs w:val="26"/>
        </w:rPr>
      </w:pPr>
      <w:r w:rsidRPr="004B5B10">
        <w:rPr>
          <w:rFonts w:asciiTheme="minorHAnsi" w:hAnsiTheme="minorHAnsi" w:cstheme="minorHAnsi"/>
          <w:b/>
          <w:bCs/>
          <w:iCs/>
          <w:szCs w:val="26"/>
        </w:rPr>
        <w:t>#22-299</w:t>
      </w:r>
      <w:r w:rsidRPr="004B5B10">
        <w:rPr>
          <w:rFonts w:asciiTheme="minorHAnsi" w:hAnsiTheme="minorHAnsi" w:cstheme="minorHAnsi"/>
          <w:b/>
          <w:bCs/>
          <w:iCs/>
          <w:szCs w:val="26"/>
        </w:rPr>
        <w:t xml:space="preserve">  </w:t>
      </w:r>
      <w:r w:rsidRPr="004B5B10">
        <w:rPr>
          <w:rFonts w:asciiTheme="minorHAnsi" w:hAnsiTheme="minorHAnsi" w:cstheme="minorHAnsi"/>
          <w:b/>
          <w:bCs/>
          <w:i/>
          <w:iCs/>
          <w:szCs w:val="26"/>
        </w:rPr>
        <w:t xml:space="preserve">People v. </w:t>
      </w:r>
      <w:proofErr w:type="spellStart"/>
      <w:r w:rsidRPr="004B5B10">
        <w:rPr>
          <w:rFonts w:asciiTheme="minorHAnsi" w:hAnsiTheme="minorHAnsi" w:cstheme="minorHAnsi"/>
          <w:b/>
          <w:bCs/>
          <w:i/>
          <w:iCs/>
          <w:szCs w:val="26"/>
        </w:rPr>
        <w:t>Maetta</w:t>
      </w:r>
      <w:proofErr w:type="spellEnd"/>
      <w:r w:rsidRPr="004B5B10">
        <w:rPr>
          <w:rFonts w:asciiTheme="minorHAnsi" w:hAnsiTheme="minorHAnsi" w:cstheme="minorHAnsi"/>
          <w:b/>
          <w:bCs/>
          <w:iCs/>
          <w:szCs w:val="26"/>
        </w:rPr>
        <w:t xml:space="preserve">, </w:t>
      </w:r>
      <w:r w:rsidRPr="004B5B10">
        <w:rPr>
          <w:rStyle w:val="Title28"/>
          <w:rFonts w:asciiTheme="minorHAnsi" w:hAnsiTheme="minorHAnsi" w:cstheme="minorHAnsi"/>
          <w:b/>
          <w:bCs/>
          <w:szCs w:val="26"/>
        </w:rPr>
        <w:t>S276712</w:t>
      </w:r>
      <w:r w:rsidRPr="004B5B10">
        <w:rPr>
          <w:rFonts w:asciiTheme="minorHAnsi" w:hAnsiTheme="minorHAnsi" w:cstheme="minorHAnsi"/>
          <w:b/>
          <w:bCs/>
          <w:iCs/>
          <w:szCs w:val="26"/>
        </w:rPr>
        <w:t>.</w:t>
      </w:r>
      <w:r w:rsidRPr="004B5B10">
        <w:rPr>
          <w:rFonts w:asciiTheme="minorHAnsi" w:hAnsiTheme="minorHAnsi" w:cstheme="minorHAnsi"/>
          <w:iCs/>
          <w:szCs w:val="26"/>
        </w:rPr>
        <w:t xml:space="preserve">  (</w:t>
      </w:r>
      <w:r w:rsidRPr="004B5B10">
        <w:rPr>
          <w:rStyle w:val="right"/>
          <w:rFonts w:asciiTheme="minorHAnsi" w:hAnsiTheme="minorHAnsi" w:cstheme="minorHAnsi"/>
          <w:szCs w:val="26"/>
        </w:rPr>
        <w:t>G059912</w:t>
      </w:r>
      <w:r w:rsidRPr="004B5B10">
        <w:rPr>
          <w:rFonts w:asciiTheme="minorHAnsi" w:hAnsiTheme="minorHAnsi" w:cstheme="minorHAnsi"/>
          <w:iCs/>
          <w:szCs w:val="26"/>
        </w:rPr>
        <w:t xml:space="preserve">; nonpublished opinion; </w:t>
      </w:r>
      <w:r w:rsidRPr="004B5B10">
        <w:rPr>
          <w:rFonts w:asciiTheme="minorHAnsi" w:hAnsiTheme="minorHAnsi" w:cstheme="minorHAnsi"/>
          <w:szCs w:val="26"/>
        </w:rPr>
        <w:t xml:space="preserve">Orange </w:t>
      </w:r>
      <w:r w:rsidRPr="004B5B10">
        <w:rPr>
          <w:rFonts w:asciiTheme="minorHAnsi" w:hAnsiTheme="minorHAnsi" w:cstheme="minorHAnsi"/>
          <w:iCs/>
          <w:szCs w:val="26"/>
        </w:rPr>
        <w:t xml:space="preserve">County Superior Court; </w:t>
      </w:r>
      <w:r w:rsidRPr="004B5B10">
        <w:rPr>
          <w:rFonts w:asciiTheme="minorHAnsi" w:hAnsiTheme="minorHAnsi" w:cstheme="minorHAnsi"/>
          <w:szCs w:val="26"/>
        </w:rPr>
        <w:t>07NF2428</w:t>
      </w:r>
      <w:r w:rsidRPr="004B5B10">
        <w:rPr>
          <w:rFonts w:asciiTheme="minorHAnsi" w:hAnsiTheme="minorHAnsi" w:cstheme="minorHAnsi"/>
          <w:iCs/>
          <w:szCs w:val="26"/>
        </w:rPr>
        <w:t xml:space="preserve">.)  </w:t>
      </w:r>
      <w:r w:rsidRPr="004B5B10">
        <w:rPr>
          <w:rFonts w:asciiTheme="minorHAnsi" w:hAnsiTheme="minorHAnsi" w:cstheme="minorHAnsi"/>
          <w:szCs w:val="26"/>
        </w:rPr>
        <w:t xml:space="preserve">Petition for review after the Court of Appeal reversed an order denying a post-judgment motion in a criminal matter and remanded for further proceedings.  The court ordered briefing deferred pending decision in </w:t>
      </w:r>
      <w:r w:rsidRPr="004B5B10">
        <w:rPr>
          <w:rFonts w:asciiTheme="minorHAnsi" w:hAnsiTheme="minorHAnsi" w:cstheme="minorHAnsi"/>
          <w:i/>
          <w:iCs/>
          <w:szCs w:val="26"/>
        </w:rPr>
        <w:t>People v. Prudholme</w:t>
      </w:r>
      <w:r w:rsidRPr="004B5B10">
        <w:rPr>
          <w:rFonts w:asciiTheme="minorHAnsi" w:hAnsiTheme="minorHAnsi" w:cstheme="minorHAnsi"/>
          <w:szCs w:val="26"/>
        </w:rPr>
        <w:t xml:space="preserve">, S271057 (#21-531), which presents the following issues:  (1) Does Assembly Bill No. 1950 (Stats. 2020, ch. 328) apply retroactively under </w:t>
      </w:r>
      <w:r w:rsidRPr="004B5B10">
        <w:rPr>
          <w:rFonts w:asciiTheme="minorHAnsi" w:hAnsiTheme="minorHAnsi" w:cstheme="minorHAnsi"/>
          <w:i/>
          <w:iCs/>
          <w:szCs w:val="26"/>
        </w:rPr>
        <w:t>In re Estrada</w:t>
      </w:r>
      <w:r w:rsidRPr="004B5B10">
        <w:rPr>
          <w:rFonts w:asciiTheme="minorHAnsi" w:hAnsiTheme="minorHAnsi" w:cstheme="minorHAnsi"/>
          <w:szCs w:val="26"/>
        </w:rPr>
        <w:t xml:space="preserve"> (1965) 63 Cal.2d 740?  (2) If so, does the remand procedure of </w:t>
      </w:r>
      <w:r w:rsidRPr="004B5B10">
        <w:rPr>
          <w:rFonts w:asciiTheme="minorHAnsi" w:hAnsiTheme="minorHAnsi" w:cstheme="minorHAnsi"/>
          <w:i/>
          <w:iCs/>
          <w:szCs w:val="26"/>
        </w:rPr>
        <w:t>People v. Stamps</w:t>
      </w:r>
      <w:r w:rsidRPr="004B5B10">
        <w:rPr>
          <w:rFonts w:asciiTheme="minorHAnsi" w:hAnsiTheme="minorHAnsi" w:cstheme="minorHAnsi"/>
          <w:szCs w:val="26"/>
        </w:rPr>
        <w:t xml:space="preserve"> (2020) 9 Cal.5th 685 apply?</w:t>
      </w:r>
    </w:p>
    <w:p w14:paraId="4C35E2A8" w14:textId="60C4AB3D" w:rsidR="00B359CB" w:rsidRPr="004B5B10" w:rsidRDefault="00B359CB" w:rsidP="004B5B10">
      <w:pPr>
        <w:pStyle w:val="body"/>
        <w:tabs>
          <w:tab w:val="left" w:pos="1980"/>
        </w:tabs>
        <w:spacing w:after="320" w:line="300" w:lineRule="atLeast"/>
        <w:ind w:firstLine="0"/>
        <w:rPr>
          <w:rFonts w:asciiTheme="minorHAnsi" w:hAnsiTheme="minorHAnsi" w:cstheme="minorHAnsi"/>
          <w:szCs w:val="26"/>
        </w:rPr>
      </w:pPr>
      <w:r w:rsidRPr="004B5B10">
        <w:rPr>
          <w:rFonts w:asciiTheme="minorHAnsi" w:hAnsiTheme="minorHAnsi" w:cstheme="minorHAnsi"/>
          <w:b/>
          <w:bCs/>
          <w:iCs/>
          <w:szCs w:val="26"/>
        </w:rPr>
        <w:lastRenderedPageBreak/>
        <w:t>#22-300</w:t>
      </w:r>
      <w:r w:rsidRPr="004B5B10">
        <w:rPr>
          <w:rFonts w:asciiTheme="minorHAnsi" w:hAnsiTheme="minorHAnsi" w:cstheme="minorHAnsi"/>
          <w:b/>
          <w:bCs/>
          <w:iCs/>
          <w:szCs w:val="26"/>
        </w:rPr>
        <w:t xml:space="preserve">  </w:t>
      </w:r>
      <w:r w:rsidRPr="004B5B10">
        <w:rPr>
          <w:rFonts w:asciiTheme="minorHAnsi" w:hAnsiTheme="minorHAnsi" w:cstheme="minorHAnsi"/>
          <w:b/>
          <w:bCs/>
          <w:i/>
          <w:iCs/>
          <w:szCs w:val="26"/>
        </w:rPr>
        <w:t>People v. Rodriguez</w:t>
      </w:r>
      <w:r w:rsidRPr="004B5B10">
        <w:rPr>
          <w:rFonts w:asciiTheme="minorHAnsi" w:hAnsiTheme="minorHAnsi" w:cstheme="minorHAnsi"/>
          <w:b/>
          <w:bCs/>
          <w:iCs/>
          <w:szCs w:val="26"/>
        </w:rPr>
        <w:t xml:space="preserve">, </w:t>
      </w:r>
      <w:r w:rsidRPr="004B5B10">
        <w:rPr>
          <w:rStyle w:val="Title28"/>
          <w:rFonts w:asciiTheme="minorHAnsi" w:hAnsiTheme="minorHAnsi" w:cstheme="minorHAnsi"/>
          <w:b/>
          <w:bCs/>
          <w:szCs w:val="26"/>
        </w:rPr>
        <w:t>S276889</w:t>
      </w:r>
      <w:r w:rsidRPr="004B5B10">
        <w:rPr>
          <w:rFonts w:asciiTheme="minorHAnsi" w:hAnsiTheme="minorHAnsi" w:cstheme="minorHAnsi"/>
          <w:b/>
          <w:bCs/>
          <w:iCs/>
          <w:szCs w:val="26"/>
        </w:rPr>
        <w:t>.</w:t>
      </w:r>
      <w:r w:rsidRPr="004B5B10">
        <w:rPr>
          <w:rFonts w:asciiTheme="minorHAnsi" w:hAnsiTheme="minorHAnsi" w:cstheme="minorHAnsi"/>
          <w:iCs/>
          <w:szCs w:val="26"/>
        </w:rPr>
        <w:t xml:space="preserve">  (</w:t>
      </w:r>
      <w:r w:rsidRPr="004B5B10">
        <w:rPr>
          <w:rStyle w:val="right"/>
          <w:rFonts w:asciiTheme="minorHAnsi" w:hAnsiTheme="minorHAnsi" w:cstheme="minorHAnsi"/>
          <w:szCs w:val="26"/>
        </w:rPr>
        <w:t>B316391</w:t>
      </w:r>
      <w:r w:rsidRPr="004B5B10">
        <w:rPr>
          <w:rFonts w:asciiTheme="minorHAnsi" w:hAnsiTheme="minorHAnsi" w:cstheme="minorHAnsi"/>
          <w:iCs/>
          <w:szCs w:val="26"/>
        </w:rPr>
        <w:t xml:space="preserve">; nonpublished opinion; Los Angeles County Superior Court; </w:t>
      </w:r>
      <w:r w:rsidRPr="004B5B10">
        <w:rPr>
          <w:rFonts w:asciiTheme="minorHAnsi" w:hAnsiTheme="minorHAnsi" w:cstheme="minorHAnsi"/>
          <w:szCs w:val="26"/>
        </w:rPr>
        <w:t>BA477061</w:t>
      </w:r>
      <w:r w:rsidRPr="004B5B10">
        <w:rPr>
          <w:rFonts w:asciiTheme="minorHAnsi" w:hAnsiTheme="minorHAnsi" w:cstheme="minorHAnsi"/>
          <w:iCs/>
          <w:szCs w:val="26"/>
        </w:rPr>
        <w:t xml:space="preserve">.)  </w:t>
      </w:r>
      <w:r w:rsidRPr="004B5B10">
        <w:rPr>
          <w:rFonts w:asciiTheme="minorHAnsi" w:hAnsiTheme="minorHAnsi" w:cstheme="minorHAnsi"/>
          <w:szCs w:val="26"/>
        </w:rPr>
        <w:t xml:space="preserve">Petition for review after the Court of Appeal affirmed a judgment of conviction of criminal offenses.  The court ordered briefing deferred pending decision in </w:t>
      </w:r>
      <w:r w:rsidRPr="004B5B10">
        <w:rPr>
          <w:rFonts w:asciiTheme="minorHAnsi" w:hAnsiTheme="minorHAnsi" w:cstheme="minorHAnsi"/>
          <w:i/>
          <w:iCs/>
          <w:szCs w:val="26"/>
        </w:rPr>
        <w:t>People v. Lynch</w:t>
      </w:r>
      <w:r w:rsidRPr="004B5B10">
        <w:rPr>
          <w:rFonts w:asciiTheme="minorHAnsi" w:hAnsiTheme="minorHAnsi" w:cstheme="minorHAnsi"/>
          <w:szCs w:val="26"/>
        </w:rPr>
        <w:t xml:space="preserve">, S274942 (#22-217), which presents the following issue:  What prejudice standard applies on appeal when determining whether a case should be remanded for resentencing in light of newly-enacted Senate Bill No. 567 (Stats. 2021, ch. 731)? and pending decision in </w:t>
      </w:r>
      <w:r w:rsidRPr="004B5B10">
        <w:rPr>
          <w:rFonts w:asciiTheme="minorHAnsi" w:hAnsiTheme="minorHAnsi" w:cstheme="minorHAnsi"/>
          <w:i/>
          <w:iCs/>
          <w:szCs w:val="26"/>
        </w:rPr>
        <w:t>People v. Salazar</w:t>
      </w:r>
      <w:r w:rsidRPr="004B5B10">
        <w:rPr>
          <w:rFonts w:asciiTheme="minorHAnsi" w:hAnsiTheme="minorHAnsi" w:cstheme="minorHAnsi"/>
          <w:szCs w:val="26"/>
        </w:rPr>
        <w:t xml:space="preserve">, S275788 (#22-264), which presents the following issue:  Did the Court of Appeal err by finding the record clearly indicates the trial court would not have imposed a low term sentence if it had been fully aware of its discretion under newly-added subdivision (b)(6) of Penal Code section 1170?  (See </w:t>
      </w:r>
      <w:r w:rsidRPr="004B5B10">
        <w:rPr>
          <w:rFonts w:asciiTheme="minorHAnsi" w:hAnsiTheme="minorHAnsi" w:cstheme="minorHAnsi"/>
          <w:i/>
          <w:iCs/>
          <w:szCs w:val="26"/>
        </w:rPr>
        <w:t>People v. Gutierrez</w:t>
      </w:r>
      <w:r w:rsidRPr="004B5B10">
        <w:rPr>
          <w:rFonts w:asciiTheme="minorHAnsi" w:hAnsiTheme="minorHAnsi" w:cstheme="minorHAnsi"/>
          <w:szCs w:val="26"/>
        </w:rPr>
        <w:t xml:space="preserve"> (2014) 58 Cal.4th 1354, 1391.)</w:t>
      </w:r>
    </w:p>
    <w:p w14:paraId="4A4512C9" w14:textId="5E28D3B7" w:rsidR="00B359CB" w:rsidRPr="004B5B10" w:rsidRDefault="00B359CB" w:rsidP="004B5B10">
      <w:pPr>
        <w:pStyle w:val="body"/>
        <w:tabs>
          <w:tab w:val="left" w:pos="1980"/>
        </w:tabs>
        <w:spacing w:after="320" w:line="300" w:lineRule="atLeast"/>
        <w:ind w:firstLine="0"/>
        <w:rPr>
          <w:rFonts w:asciiTheme="minorHAnsi" w:hAnsiTheme="minorHAnsi" w:cstheme="minorHAnsi"/>
          <w:szCs w:val="26"/>
        </w:rPr>
      </w:pPr>
      <w:r w:rsidRPr="004B5B10">
        <w:rPr>
          <w:rFonts w:asciiTheme="minorHAnsi" w:hAnsiTheme="minorHAnsi" w:cstheme="minorHAnsi"/>
          <w:b/>
          <w:bCs/>
          <w:iCs/>
          <w:szCs w:val="26"/>
        </w:rPr>
        <w:t>#22-301</w:t>
      </w:r>
      <w:r w:rsidRPr="004B5B10">
        <w:rPr>
          <w:rFonts w:asciiTheme="minorHAnsi" w:hAnsiTheme="minorHAnsi" w:cstheme="minorHAnsi"/>
          <w:b/>
          <w:bCs/>
          <w:iCs/>
          <w:szCs w:val="26"/>
        </w:rPr>
        <w:t xml:space="preserve">  </w:t>
      </w:r>
      <w:r w:rsidRPr="004B5B10">
        <w:rPr>
          <w:rFonts w:asciiTheme="minorHAnsi" w:hAnsiTheme="minorHAnsi" w:cstheme="minorHAnsi"/>
          <w:b/>
          <w:bCs/>
          <w:i/>
          <w:iCs/>
          <w:szCs w:val="26"/>
        </w:rPr>
        <w:t>People v. Singh</w:t>
      </w:r>
      <w:r w:rsidRPr="004B5B10">
        <w:rPr>
          <w:rFonts w:asciiTheme="minorHAnsi" w:hAnsiTheme="minorHAnsi" w:cstheme="minorHAnsi"/>
          <w:b/>
          <w:bCs/>
          <w:iCs/>
          <w:szCs w:val="26"/>
        </w:rPr>
        <w:t xml:space="preserve">, </w:t>
      </w:r>
      <w:r w:rsidRPr="004B5B10">
        <w:rPr>
          <w:rFonts w:asciiTheme="minorHAnsi" w:hAnsiTheme="minorHAnsi" w:cstheme="minorHAnsi"/>
          <w:b/>
          <w:bCs/>
          <w:szCs w:val="26"/>
        </w:rPr>
        <w:t>S276885</w:t>
      </w:r>
      <w:r w:rsidRPr="004B5B10">
        <w:rPr>
          <w:rFonts w:asciiTheme="minorHAnsi" w:hAnsiTheme="minorHAnsi" w:cstheme="minorHAnsi"/>
          <w:b/>
          <w:bCs/>
          <w:iCs/>
          <w:szCs w:val="26"/>
        </w:rPr>
        <w:t>.</w:t>
      </w:r>
      <w:r w:rsidRPr="004B5B10">
        <w:rPr>
          <w:rFonts w:asciiTheme="minorHAnsi" w:hAnsiTheme="minorHAnsi" w:cstheme="minorHAnsi"/>
          <w:iCs/>
          <w:szCs w:val="26"/>
        </w:rPr>
        <w:t xml:space="preserve">  (</w:t>
      </w:r>
      <w:r w:rsidRPr="004B5B10">
        <w:rPr>
          <w:rFonts w:asciiTheme="minorHAnsi" w:hAnsiTheme="minorHAnsi" w:cstheme="minorHAnsi"/>
          <w:szCs w:val="26"/>
        </w:rPr>
        <w:t>F082580, F082584</w:t>
      </w:r>
      <w:r w:rsidRPr="004B5B10">
        <w:rPr>
          <w:rFonts w:asciiTheme="minorHAnsi" w:hAnsiTheme="minorHAnsi" w:cstheme="minorHAnsi"/>
          <w:iCs/>
          <w:szCs w:val="26"/>
        </w:rPr>
        <w:t xml:space="preserve">; nonpublished opinion; </w:t>
      </w:r>
      <w:r w:rsidRPr="004B5B10">
        <w:rPr>
          <w:rFonts w:asciiTheme="minorHAnsi" w:hAnsiTheme="minorHAnsi" w:cstheme="minorHAnsi"/>
          <w:szCs w:val="26"/>
        </w:rPr>
        <w:t xml:space="preserve">Madera </w:t>
      </w:r>
      <w:r w:rsidRPr="004B5B10">
        <w:rPr>
          <w:rFonts w:asciiTheme="minorHAnsi" w:hAnsiTheme="minorHAnsi" w:cstheme="minorHAnsi"/>
          <w:iCs/>
          <w:szCs w:val="26"/>
        </w:rPr>
        <w:t xml:space="preserve">County Superior Court; </w:t>
      </w:r>
      <w:r w:rsidRPr="004B5B10">
        <w:rPr>
          <w:rFonts w:asciiTheme="minorHAnsi" w:hAnsiTheme="minorHAnsi" w:cstheme="minorHAnsi"/>
          <w:szCs w:val="26"/>
        </w:rPr>
        <w:t>MCR060560</w:t>
      </w:r>
      <w:r w:rsidRPr="004B5B10">
        <w:rPr>
          <w:rFonts w:asciiTheme="minorHAnsi" w:hAnsiTheme="minorHAnsi" w:cstheme="minorHAnsi"/>
          <w:iCs/>
          <w:szCs w:val="26"/>
        </w:rPr>
        <w:t xml:space="preserve">.)  </w:t>
      </w:r>
      <w:r w:rsidRPr="004B5B10">
        <w:rPr>
          <w:rFonts w:asciiTheme="minorHAnsi" w:hAnsiTheme="minorHAnsi" w:cstheme="minorHAnsi"/>
          <w:szCs w:val="26"/>
        </w:rPr>
        <w:t xml:space="preserve">Petition for review after the Court of Appeal modified and affirmed a judgment of conviction of criminal offenses.  The court ordered briefing deferred pending decision in </w:t>
      </w:r>
      <w:r w:rsidRPr="004B5B10">
        <w:rPr>
          <w:rFonts w:asciiTheme="minorHAnsi" w:hAnsiTheme="minorHAnsi" w:cstheme="minorHAnsi"/>
          <w:i/>
          <w:iCs/>
          <w:szCs w:val="26"/>
        </w:rPr>
        <w:t>People v. Lynch</w:t>
      </w:r>
      <w:r w:rsidRPr="004B5B10">
        <w:rPr>
          <w:rFonts w:asciiTheme="minorHAnsi" w:hAnsiTheme="minorHAnsi" w:cstheme="minorHAnsi"/>
          <w:szCs w:val="26"/>
        </w:rPr>
        <w:t>, S274942 (#22-217), which presents the following issue:  What prejudice standard applies on appeal when determining whether a case should be remanded for resentencing in light of newly-enacted Senate Bill No. 567 (Stats. 2021, ch. 731)?</w:t>
      </w:r>
    </w:p>
    <w:p w14:paraId="56EE74FF" w14:textId="77777777" w:rsidR="00B359CB" w:rsidRPr="004B5B10" w:rsidRDefault="00B359CB" w:rsidP="004B5B10">
      <w:pPr>
        <w:pStyle w:val="banner"/>
        <w:keepNext/>
        <w:spacing w:before="240" w:after="320" w:line="300" w:lineRule="atLeast"/>
        <w:rPr>
          <w:rFonts w:asciiTheme="minorHAnsi" w:hAnsiTheme="minorHAnsi" w:cstheme="minorHAnsi"/>
          <w:b/>
          <w:smallCaps/>
          <w:szCs w:val="26"/>
        </w:rPr>
      </w:pPr>
      <w:r w:rsidRPr="004B5B10">
        <w:rPr>
          <w:rFonts w:asciiTheme="minorHAnsi" w:hAnsiTheme="minorHAnsi" w:cstheme="minorHAnsi"/>
          <w:b/>
          <w:smallCaps/>
          <w:szCs w:val="26"/>
        </w:rPr>
        <w:t>Dispositions</w:t>
      </w:r>
    </w:p>
    <w:p w14:paraId="150B3B86" w14:textId="77777777" w:rsidR="00B359CB" w:rsidRPr="004B5B10" w:rsidRDefault="00B359CB" w:rsidP="004B5B10">
      <w:pPr>
        <w:pStyle w:val="body"/>
        <w:spacing w:after="320" w:line="300" w:lineRule="atLeast"/>
        <w:ind w:firstLine="0"/>
        <w:rPr>
          <w:rFonts w:asciiTheme="minorHAnsi" w:hAnsiTheme="minorHAnsi" w:cstheme="minorHAnsi"/>
          <w:szCs w:val="26"/>
        </w:rPr>
      </w:pPr>
      <w:r w:rsidRPr="004B5B10">
        <w:rPr>
          <w:rFonts w:asciiTheme="minorHAnsi" w:hAnsiTheme="minorHAnsi" w:cstheme="minorHAnsi"/>
          <w:szCs w:val="26"/>
        </w:rPr>
        <w:t xml:space="preserve">The following cases were transferred for reconsideration in light of </w:t>
      </w:r>
      <w:r w:rsidRPr="004B5B10">
        <w:rPr>
          <w:rFonts w:asciiTheme="minorHAnsi" w:hAnsiTheme="minorHAnsi" w:cstheme="minorHAnsi"/>
          <w:i/>
          <w:iCs/>
          <w:szCs w:val="26"/>
        </w:rPr>
        <w:t>People v. Strong</w:t>
      </w:r>
      <w:r w:rsidRPr="004B5B10">
        <w:rPr>
          <w:rFonts w:asciiTheme="minorHAnsi" w:hAnsiTheme="minorHAnsi" w:cstheme="minorHAnsi"/>
          <w:szCs w:val="26"/>
        </w:rPr>
        <w:t xml:space="preserve"> (2022) 13 Cal.5th 698: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4320"/>
      </w:tblGrid>
      <w:tr w:rsidR="00B359CB" w:rsidRPr="004B5B10" w14:paraId="2EF8051F" w14:textId="77777777" w:rsidTr="000300A8">
        <w:tc>
          <w:tcPr>
            <w:tcW w:w="4310" w:type="dxa"/>
            <w:shd w:val="clear" w:color="auto" w:fill="auto"/>
          </w:tcPr>
          <w:p w14:paraId="6AF731D5" w14:textId="77777777" w:rsidR="00B359CB" w:rsidRPr="004B5B10" w:rsidRDefault="00B359CB" w:rsidP="004B5B10">
            <w:pPr>
              <w:spacing w:after="320" w:line="300" w:lineRule="atLeast"/>
              <w:rPr>
                <w:rFonts w:asciiTheme="minorHAnsi" w:hAnsiTheme="minorHAnsi" w:cstheme="minorHAnsi"/>
                <w:b/>
                <w:bCs/>
                <w:sz w:val="26"/>
                <w:szCs w:val="26"/>
              </w:rPr>
            </w:pPr>
            <w:r w:rsidRPr="004B5B10">
              <w:rPr>
                <w:rFonts w:asciiTheme="minorHAnsi" w:hAnsiTheme="minorHAnsi" w:cstheme="minorHAnsi"/>
                <w:b/>
                <w:bCs/>
                <w:sz w:val="26"/>
                <w:szCs w:val="26"/>
              </w:rPr>
              <w:t xml:space="preserve">#22-92  </w:t>
            </w:r>
            <w:r w:rsidRPr="004B5B10">
              <w:rPr>
                <w:rFonts w:asciiTheme="minorHAnsi" w:hAnsiTheme="minorHAnsi" w:cstheme="minorHAnsi"/>
                <w:b/>
                <w:bCs/>
                <w:i/>
                <w:iCs/>
                <w:sz w:val="26"/>
                <w:szCs w:val="26"/>
              </w:rPr>
              <w:t>People v. Abernathy</w:t>
            </w:r>
            <w:r w:rsidRPr="004B5B10">
              <w:rPr>
                <w:rFonts w:asciiTheme="minorHAnsi" w:hAnsiTheme="minorHAnsi" w:cstheme="minorHAnsi"/>
                <w:b/>
                <w:bCs/>
                <w:sz w:val="26"/>
                <w:szCs w:val="26"/>
              </w:rPr>
              <w:t>, S273297</w:t>
            </w:r>
          </w:p>
        </w:tc>
        <w:tc>
          <w:tcPr>
            <w:tcW w:w="4320" w:type="dxa"/>
            <w:shd w:val="clear" w:color="auto" w:fill="auto"/>
          </w:tcPr>
          <w:p w14:paraId="283FB463" w14:textId="2BD53AA5" w:rsidR="00B359CB" w:rsidRPr="004B5B10" w:rsidRDefault="00B359CB" w:rsidP="004B5B10">
            <w:pPr>
              <w:spacing w:after="320" w:line="300" w:lineRule="atLeast"/>
              <w:rPr>
                <w:rFonts w:asciiTheme="minorHAnsi" w:hAnsiTheme="minorHAnsi" w:cstheme="minorHAnsi"/>
                <w:sz w:val="26"/>
                <w:szCs w:val="26"/>
              </w:rPr>
            </w:pPr>
            <w:r w:rsidRPr="004B5B10">
              <w:rPr>
                <w:rFonts w:asciiTheme="minorHAnsi" w:hAnsiTheme="minorHAnsi" w:cstheme="minorHAnsi"/>
                <w:sz w:val="26"/>
                <w:szCs w:val="26"/>
              </w:rPr>
              <w:t>(C092495; nonpublished opinion; Sacramento County Superior Court; 93F06757)</w:t>
            </w:r>
          </w:p>
        </w:tc>
      </w:tr>
      <w:tr w:rsidR="00B359CB" w:rsidRPr="004B5B10" w14:paraId="04DB26F6" w14:textId="77777777" w:rsidTr="000300A8">
        <w:tc>
          <w:tcPr>
            <w:tcW w:w="4310" w:type="dxa"/>
            <w:shd w:val="clear" w:color="auto" w:fill="auto"/>
          </w:tcPr>
          <w:p w14:paraId="7BE930DA" w14:textId="77777777" w:rsidR="00B359CB" w:rsidRPr="004B5B10" w:rsidRDefault="00B359CB" w:rsidP="004B5B10">
            <w:pPr>
              <w:spacing w:after="320" w:line="300" w:lineRule="atLeast"/>
              <w:rPr>
                <w:rFonts w:asciiTheme="minorHAnsi" w:hAnsiTheme="minorHAnsi" w:cstheme="minorHAnsi"/>
                <w:b/>
                <w:bCs/>
                <w:sz w:val="26"/>
                <w:szCs w:val="26"/>
              </w:rPr>
            </w:pPr>
            <w:r w:rsidRPr="004B5B10">
              <w:rPr>
                <w:rFonts w:asciiTheme="minorHAnsi" w:hAnsiTheme="minorHAnsi" w:cstheme="minorHAnsi"/>
                <w:b/>
                <w:bCs/>
                <w:sz w:val="26"/>
                <w:szCs w:val="26"/>
              </w:rPr>
              <w:t xml:space="preserve">#22-142  </w:t>
            </w:r>
            <w:r w:rsidRPr="004B5B10">
              <w:rPr>
                <w:rFonts w:asciiTheme="minorHAnsi" w:hAnsiTheme="minorHAnsi" w:cstheme="minorHAnsi"/>
                <w:b/>
                <w:bCs/>
                <w:i/>
                <w:iCs/>
                <w:sz w:val="26"/>
                <w:szCs w:val="26"/>
              </w:rPr>
              <w:t>People v. Allen</w:t>
            </w:r>
            <w:r w:rsidRPr="004B5B10">
              <w:rPr>
                <w:rFonts w:asciiTheme="minorHAnsi" w:hAnsiTheme="minorHAnsi" w:cstheme="minorHAnsi"/>
                <w:b/>
                <w:bCs/>
                <w:sz w:val="26"/>
                <w:szCs w:val="26"/>
              </w:rPr>
              <w:t xml:space="preserve">, </w:t>
            </w:r>
            <w:r w:rsidRPr="004B5B10">
              <w:rPr>
                <w:rStyle w:val="Title10"/>
                <w:rFonts w:asciiTheme="minorHAnsi" w:hAnsiTheme="minorHAnsi" w:cstheme="minorHAnsi"/>
                <w:b/>
                <w:bCs/>
                <w:sz w:val="26"/>
                <w:szCs w:val="26"/>
              </w:rPr>
              <w:t>S274029</w:t>
            </w:r>
          </w:p>
        </w:tc>
        <w:tc>
          <w:tcPr>
            <w:tcW w:w="4320" w:type="dxa"/>
            <w:shd w:val="clear" w:color="auto" w:fill="auto"/>
          </w:tcPr>
          <w:p w14:paraId="3C041D0C" w14:textId="279D9E4E" w:rsidR="00B359CB" w:rsidRPr="004B5B10" w:rsidRDefault="00B359CB" w:rsidP="004B5B10">
            <w:pPr>
              <w:spacing w:after="320" w:line="300" w:lineRule="atLeast"/>
              <w:rPr>
                <w:rFonts w:asciiTheme="minorHAnsi" w:hAnsiTheme="minorHAnsi" w:cstheme="minorHAnsi"/>
                <w:sz w:val="26"/>
                <w:szCs w:val="26"/>
              </w:rPr>
            </w:pPr>
            <w:r w:rsidRPr="004B5B10">
              <w:rPr>
                <w:rFonts w:asciiTheme="minorHAnsi" w:hAnsiTheme="minorHAnsi" w:cstheme="minorHAnsi"/>
                <w:sz w:val="26"/>
                <w:szCs w:val="26"/>
              </w:rPr>
              <w:t>(</w:t>
            </w:r>
            <w:r w:rsidRPr="004B5B10">
              <w:rPr>
                <w:rStyle w:val="right"/>
                <w:rFonts w:asciiTheme="minorHAnsi" w:hAnsiTheme="minorHAnsi" w:cstheme="minorHAnsi"/>
                <w:sz w:val="26"/>
                <w:szCs w:val="26"/>
              </w:rPr>
              <w:t>C093465</w:t>
            </w:r>
            <w:r w:rsidRPr="004B5B10">
              <w:rPr>
                <w:rFonts w:asciiTheme="minorHAnsi" w:hAnsiTheme="minorHAnsi" w:cstheme="minorHAnsi"/>
                <w:sz w:val="26"/>
                <w:szCs w:val="26"/>
              </w:rPr>
              <w:t>; nonpublished opinion; Sacramento County Superior Court; 05F03498)</w:t>
            </w:r>
          </w:p>
        </w:tc>
      </w:tr>
      <w:tr w:rsidR="00B359CB" w:rsidRPr="004B5B10" w14:paraId="0B93894C" w14:textId="77777777" w:rsidTr="000300A8">
        <w:tc>
          <w:tcPr>
            <w:tcW w:w="4310" w:type="dxa"/>
            <w:shd w:val="clear" w:color="auto" w:fill="auto"/>
          </w:tcPr>
          <w:p w14:paraId="6672576C" w14:textId="77777777" w:rsidR="00B359CB" w:rsidRPr="004B5B10" w:rsidRDefault="00B359CB" w:rsidP="004B5B10">
            <w:pPr>
              <w:spacing w:after="320" w:line="300" w:lineRule="atLeast"/>
              <w:rPr>
                <w:rFonts w:asciiTheme="minorHAnsi" w:hAnsiTheme="minorHAnsi" w:cstheme="minorHAnsi"/>
                <w:b/>
                <w:bCs/>
                <w:sz w:val="26"/>
                <w:szCs w:val="26"/>
              </w:rPr>
            </w:pPr>
            <w:r w:rsidRPr="004B5B10">
              <w:rPr>
                <w:rFonts w:asciiTheme="minorHAnsi" w:hAnsiTheme="minorHAnsi" w:cstheme="minorHAnsi"/>
                <w:b/>
                <w:bCs/>
                <w:sz w:val="26"/>
                <w:szCs w:val="26"/>
              </w:rPr>
              <w:t xml:space="preserve">#22-93  </w:t>
            </w:r>
            <w:r w:rsidRPr="004B5B10">
              <w:rPr>
                <w:rFonts w:asciiTheme="minorHAnsi" w:hAnsiTheme="minorHAnsi" w:cstheme="minorHAnsi"/>
                <w:b/>
                <w:bCs/>
                <w:i/>
                <w:iCs/>
                <w:sz w:val="26"/>
                <w:szCs w:val="26"/>
              </w:rPr>
              <w:t>People v. Allen</w:t>
            </w:r>
            <w:r w:rsidRPr="004B5B10">
              <w:rPr>
                <w:rFonts w:asciiTheme="minorHAnsi" w:hAnsiTheme="minorHAnsi" w:cstheme="minorHAnsi"/>
                <w:b/>
                <w:bCs/>
                <w:sz w:val="26"/>
                <w:szCs w:val="26"/>
              </w:rPr>
              <w:t>, S273398</w:t>
            </w:r>
          </w:p>
        </w:tc>
        <w:tc>
          <w:tcPr>
            <w:tcW w:w="4320" w:type="dxa"/>
            <w:shd w:val="clear" w:color="auto" w:fill="auto"/>
          </w:tcPr>
          <w:p w14:paraId="4B90C2F2" w14:textId="6EC483D7" w:rsidR="00B359CB" w:rsidRPr="004B5B10" w:rsidRDefault="00B359CB" w:rsidP="004B5B10">
            <w:pPr>
              <w:spacing w:after="320" w:line="300" w:lineRule="atLeast"/>
              <w:rPr>
                <w:rFonts w:asciiTheme="minorHAnsi" w:hAnsiTheme="minorHAnsi" w:cstheme="minorHAnsi"/>
                <w:sz w:val="26"/>
                <w:szCs w:val="26"/>
              </w:rPr>
            </w:pPr>
            <w:r w:rsidRPr="004B5B10">
              <w:rPr>
                <w:rFonts w:asciiTheme="minorHAnsi" w:hAnsiTheme="minorHAnsi" w:cstheme="minorHAnsi"/>
                <w:sz w:val="26"/>
                <w:szCs w:val="26"/>
              </w:rPr>
              <w:t>(F081607; nonpublished opinion; Kern County Superior Court; BF116603A)</w:t>
            </w:r>
          </w:p>
        </w:tc>
      </w:tr>
      <w:tr w:rsidR="00B359CB" w:rsidRPr="004B5B10" w14:paraId="0228833D" w14:textId="77777777" w:rsidTr="000300A8">
        <w:tc>
          <w:tcPr>
            <w:tcW w:w="4310" w:type="dxa"/>
            <w:shd w:val="clear" w:color="auto" w:fill="auto"/>
          </w:tcPr>
          <w:p w14:paraId="3606D1BF" w14:textId="77777777" w:rsidR="00B359CB" w:rsidRPr="004B5B10" w:rsidRDefault="00B359CB" w:rsidP="004B5B10">
            <w:pPr>
              <w:spacing w:after="320" w:line="300" w:lineRule="atLeast"/>
              <w:rPr>
                <w:rFonts w:asciiTheme="minorHAnsi" w:hAnsiTheme="minorHAnsi" w:cstheme="minorHAnsi"/>
                <w:b/>
                <w:bCs/>
                <w:sz w:val="26"/>
                <w:szCs w:val="26"/>
              </w:rPr>
            </w:pPr>
            <w:r w:rsidRPr="004B5B10">
              <w:rPr>
                <w:rFonts w:asciiTheme="minorHAnsi" w:hAnsiTheme="minorHAnsi" w:cstheme="minorHAnsi"/>
                <w:b/>
                <w:bCs/>
                <w:sz w:val="26"/>
                <w:szCs w:val="26"/>
              </w:rPr>
              <w:t xml:space="preserve">#22-33  </w:t>
            </w:r>
            <w:r w:rsidRPr="004B5B10">
              <w:rPr>
                <w:rFonts w:asciiTheme="minorHAnsi" w:hAnsiTheme="minorHAnsi" w:cstheme="minorHAnsi"/>
                <w:b/>
                <w:bCs/>
                <w:i/>
                <w:iCs/>
                <w:sz w:val="26"/>
                <w:szCs w:val="26"/>
              </w:rPr>
              <w:t>People v. Berry</w:t>
            </w:r>
            <w:r w:rsidRPr="004B5B10">
              <w:rPr>
                <w:rFonts w:asciiTheme="minorHAnsi" w:hAnsiTheme="minorHAnsi" w:cstheme="minorHAnsi"/>
                <w:b/>
                <w:bCs/>
                <w:sz w:val="26"/>
                <w:szCs w:val="26"/>
              </w:rPr>
              <w:t>, S272412</w:t>
            </w:r>
          </w:p>
        </w:tc>
        <w:tc>
          <w:tcPr>
            <w:tcW w:w="4320" w:type="dxa"/>
            <w:shd w:val="clear" w:color="auto" w:fill="auto"/>
          </w:tcPr>
          <w:p w14:paraId="3EA95B83" w14:textId="77777777" w:rsidR="00B359CB" w:rsidRPr="004B5B10" w:rsidRDefault="00B359CB" w:rsidP="004B5B10">
            <w:pPr>
              <w:spacing w:after="320" w:line="300" w:lineRule="atLeast"/>
              <w:rPr>
                <w:rFonts w:asciiTheme="minorHAnsi" w:hAnsiTheme="minorHAnsi" w:cstheme="minorHAnsi"/>
                <w:sz w:val="26"/>
                <w:szCs w:val="26"/>
              </w:rPr>
            </w:pPr>
            <w:r w:rsidRPr="004B5B10">
              <w:rPr>
                <w:rFonts w:asciiTheme="minorHAnsi" w:hAnsiTheme="minorHAnsi" w:cstheme="minorHAnsi"/>
                <w:sz w:val="26"/>
                <w:szCs w:val="26"/>
              </w:rPr>
              <w:t>(B307146; nonpublished opinion; Los Angeles County Superior Court; KA064692)</w:t>
            </w:r>
          </w:p>
        </w:tc>
      </w:tr>
      <w:tr w:rsidR="00B359CB" w:rsidRPr="004B5B10" w14:paraId="1129E34A" w14:textId="77777777" w:rsidTr="000300A8">
        <w:tc>
          <w:tcPr>
            <w:tcW w:w="4310" w:type="dxa"/>
            <w:shd w:val="clear" w:color="auto" w:fill="auto"/>
          </w:tcPr>
          <w:p w14:paraId="673F7C0C" w14:textId="77777777" w:rsidR="00B359CB" w:rsidRPr="004B5B10" w:rsidRDefault="00B359CB" w:rsidP="004B5B10">
            <w:pPr>
              <w:spacing w:after="320" w:line="300" w:lineRule="atLeast"/>
              <w:rPr>
                <w:rFonts w:asciiTheme="minorHAnsi" w:hAnsiTheme="minorHAnsi" w:cstheme="minorHAnsi"/>
                <w:b/>
                <w:bCs/>
                <w:sz w:val="26"/>
                <w:szCs w:val="26"/>
              </w:rPr>
            </w:pPr>
            <w:r w:rsidRPr="004B5B10">
              <w:rPr>
                <w:rFonts w:asciiTheme="minorHAnsi" w:hAnsiTheme="minorHAnsi" w:cstheme="minorHAnsi"/>
                <w:b/>
                <w:bCs/>
                <w:sz w:val="26"/>
                <w:szCs w:val="26"/>
              </w:rPr>
              <w:lastRenderedPageBreak/>
              <w:t xml:space="preserve">#22-70  </w:t>
            </w:r>
            <w:r w:rsidRPr="004B5B10">
              <w:rPr>
                <w:rFonts w:asciiTheme="minorHAnsi" w:hAnsiTheme="minorHAnsi" w:cstheme="minorHAnsi"/>
                <w:b/>
                <w:bCs/>
                <w:i/>
                <w:iCs/>
                <w:sz w:val="26"/>
                <w:szCs w:val="26"/>
              </w:rPr>
              <w:t>People v. Collins</w:t>
            </w:r>
            <w:r w:rsidRPr="004B5B10">
              <w:rPr>
                <w:rFonts w:asciiTheme="minorHAnsi" w:hAnsiTheme="minorHAnsi" w:cstheme="minorHAnsi"/>
                <w:b/>
                <w:bCs/>
                <w:sz w:val="26"/>
                <w:szCs w:val="26"/>
              </w:rPr>
              <w:t>, S272979</w:t>
            </w:r>
          </w:p>
        </w:tc>
        <w:tc>
          <w:tcPr>
            <w:tcW w:w="4320" w:type="dxa"/>
            <w:shd w:val="clear" w:color="auto" w:fill="auto"/>
          </w:tcPr>
          <w:p w14:paraId="0986BDBE" w14:textId="4FB7D6CD" w:rsidR="00B359CB" w:rsidRPr="004B5B10" w:rsidRDefault="00B359CB" w:rsidP="004B5B10">
            <w:pPr>
              <w:spacing w:after="320" w:line="300" w:lineRule="atLeast"/>
              <w:rPr>
                <w:rFonts w:asciiTheme="minorHAnsi" w:hAnsiTheme="minorHAnsi" w:cstheme="minorHAnsi"/>
                <w:sz w:val="26"/>
                <w:szCs w:val="26"/>
              </w:rPr>
            </w:pPr>
            <w:r w:rsidRPr="004B5B10">
              <w:rPr>
                <w:rFonts w:asciiTheme="minorHAnsi" w:hAnsiTheme="minorHAnsi" w:cstheme="minorHAnsi"/>
                <w:sz w:val="26"/>
                <w:szCs w:val="26"/>
              </w:rPr>
              <w:t>(C093043; nonpublished opinion; Sacramento County Superior Court; 98F10648)</w:t>
            </w:r>
          </w:p>
        </w:tc>
      </w:tr>
      <w:tr w:rsidR="00B359CB" w:rsidRPr="004B5B10" w14:paraId="32240C69" w14:textId="77777777" w:rsidTr="000300A8">
        <w:tc>
          <w:tcPr>
            <w:tcW w:w="4310" w:type="dxa"/>
            <w:shd w:val="clear" w:color="auto" w:fill="auto"/>
          </w:tcPr>
          <w:p w14:paraId="0F014961" w14:textId="77777777" w:rsidR="00B359CB" w:rsidRPr="004B5B10" w:rsidRDefault="00B359CB" w:rsidP="004B5B10">
            <w:pPr>
              <w:spacing w:after="320" w:line="300" w:lineRule="atLeast"/>
              <w:rPr>
                <w:rFonts w:asciiTheme="minorHAnsi" w:hAnsiTheme="minorHAnsi" w:cstheme="minorHAnsi"/>
                <w:b/>
                <w:bCs/>
                <w:sz w:val="26"/>
                <w:szCs w:val="26"/>
              </w:rPr>
            </w:pPr>
            <w:r w:rsidRPr="004B5B10">
              <w:rPr>
                <w:rFonts w:asciiTheme="minorHAnsi" w:hAnsiTheme="minorHAnsi" w:cstheme="minorHAnsi"/>
                <w:b/>
                <w:bCs/>
                <w:sz w:val="26"/>
                <w:szCs w:val="26"/>
              </w:rPr>
              <w:t xml:space="preserve">#22-44  </w:t>
            </w:r>
            <w:r w:rsidRPr="004B5B10">
              <w:rPr>
                <w:rFonts w:asciiTheme="minorHAnsi" w:hAnsiTheme="minorHAnsi" w:cstheme="minorHAnsi"/>
                <w:b/>
                <w:bCs/>
                <w:i/>
                <w:iCs/>
                <w:sz w:val="26"/>
                <w:szCs w:val="26"/>
              </w:rPr>
              <w:t>People v. Ellis</w:t>
            </w:r>
            <w:r w:rsidRPr="004B5B10">
              <w:rPr>
                <w:rFonts w:asciiTheme="minorHAnsi" w:hAnsiTheme="minorHAnsi" w:cstheme="minorHAnsi"/>
                <w:b/>
                <w:bCs/>
                <w:sz w:val="26"/>
                <w:szCs w:val="26"/>
              </w:rPr>
              <w:t xml:space="preserve">, S272417 </w:t>
            </w:r>
          </w:p>
        </w:tc>
        <w:tc>
          <w:tcPr>
            <w:tcW w:w="4320" w:type="dxa"/>
            <w:shd w:val="clear" w:color="auto" w:fill="auto"/>
          </w:tcPr>
          <w:p w14:paraId="3F68CA42" w14:textId="6A0254D9" w:rsidR="00B359CB" w:rsidRPr="004B5B10" w:rsidRDefault="00B359CB" w:rsidP="004B5B10">
            <w:pPr>
              <w:spacing w:after="320" w:line="300" w:lineRule="atLeast"/>
              <w:rPr>
                <w:rFonts w:asciiTheme="minorHAnsi" w:hAnsiTheme="minorHAnsi" w:cstheme="minorHAnsi"/>
                <w:sz w:val="26"/>
                <w:szCs w:val="26"/>
              </w:rPr>
            </w:pPr>
            <w:r w:rsidRPr="004B5B10">
              <w:rPr>
                <w:rFonts w:asciiTheme="minorHAnsi" w:hAnsiTheme="minorHAnsi" w:cstheme="minorHAnsi"/>
                <w:sz w:val="26"/>
                <w:szCs w:val="26"/>
              </w:rPr>
              <w:t>(C092613; nonpublished opinion; Sacramento County Superior Court; 05F03831)</w:t>
            </w:r>
          </w:p>
        </w:tc>
      </w:tr>
      <w:tr w:rsidR="00B359CB" w:rsidRPr="004B5B10" w14:paraId="38CAFE2B" w14:textId="77777777" w:rsidTr="000300A8">
        <w:tc>
          <w:tcPr>
            <w:tcW w:w="4310" w:type="dxa"/>
            <w:shd w:val="clear" w:color="auto" w:fill="auto"/>
          </w:tcPr>
          <w:p w14:paraId="2BFCE818" w14:textId="77777777" w:rsidR="00B359CB" w:rsidRPr="004B5B10" w:rsidRDefault="00B359CB" w:rsidP="004B5B10">
            <w:pPr>
              <w:spacing w:after="320" w:line="300" w:lineRule="atLeast"/>
              <w:rPr>
                <w:rFonts w:asciiTheme="minorHAnsi" w:hAnsiTheme="minorHAnsi" w:cstheme="minorHAnsi"/>
                <w:b/>
                <w:bCs/>
                <w:sz w:val="26"/>
                <w:szCs w:val="26"/>
              </w:rPr>
            </w:pPr>
            <w:r w:rsidRPr="004B5B10">
              <w:rPr>
                <w:rFonts w:asciiTheme="minorHAnsi" w:hAnsiTheme="minorHAnsi" w:cstheme="minorHAnsi"/>
                <w:b/>
                <w:bCs/>
                <w:sz w:val="26"/>
                <w:szCs w:val="26"/>
              </w:rPr>
              <w:t xml:space="preserve">#21-525  </w:t>
            </w:r>
            <w:r w:rsidRPr="004B5B10">
              <w:rPr>
                <w:rFonts w:asciiTheme="minorHAnsi" w:hAnsiTheme="minorHAnsi" w:cstheme="minorHAnsi"/>
                <w:b/>
                <w:bCs/>
                <w:i/>
                <w:iCs/>
                <w:sz w:val="26"/>
                <w:szCs w:val="26"/>
              </w:rPr>
              <w:t xml:space="preserve">People v. </w:t>
            </w:r>
            <w:proofErr w:type="spellStart"/>
            <w:r w:rsidRPr="004B5B10">
              <w:rPr>
                <w:rFonts w:asciiTheme="minorHAnsi" w:hAnsiTheme="minorHAnsi" w:cstheme="minorHAnsi"/>
                <w:b/>
                <w:bCs/>
                <w:i/>
                <w:iCs/>
                <w:sz w:val="26"/>
                <w:szCs w:val="26"/>
              </w:rPr>
              <w:t>Gallow</w:t>
            </w:r>
            <w:proofErr w:type="spellEnd"/>
            <w:r w:rsidRPr="004B5B10">
              <w:rPr>
                <w:rFonts w:asciiTheme="minorHAnsi" w:hAnsiTheme="minorHAnsi" w:cstheme="minorHAnsi"/>
                <w:b/>
                <w:bCs/>
                <w:sz w:val="26"/>
                <w:szCs w:val="26"/>
              </w:rPr>
              <w:t>, S271211</w:t>
            </w:r>
          </w:p>
        </w:tc>
        <w:tc>
          <w:tcPr>
            <w:tcW w:w="4320" w:type="dxa"/>
            <w:shd w:val="clear" w:color="auto" w:fill="auto"/>
          </w:tcPr>
          <w:p w14:paraId="2060B34B" w14:textId="77777777" w:rsidR="00B359CB" w:rsidRPr="004B5B10" w:rsidRDefault="00B359CB" w:rsidP="004B5B10">
            <w:pPr>
              <w:spacing w:after="320" w:line="300" w:lineRule="atLeast"/>
              <w:rPr>
                <w:rFonts w:asciiTheme="minorHAnsi" w:hAnsiTheme="minorHAnsi" w:cstheme="minorHAnsi"/>
                <w:sz w:val="26"/>
                <w:szCs w:val="26"/>
              </w:rPr>
            </w:pPr>
            <w:r w:rsidRPr="004B5B10">
              <w:rPr>
                <w:rFonts w:asciiTheme="minorHAnsi" w:hAnsiTheme="minorHAnsi" w:cstheme="minorHAnsi"/>
                <w:sz w:val="26"/>
                <w:szCs w:val="26"/>
              </w:rPr>
              <w:t>(B300252; nonpublished opinion; Los Angeles County Superior Court; BA091853)</w:t>
            </w:r>
          </w:p>
        </w:tc>
      </w:tr>
      <w:tr w:rsidR="00B359CB" w:rsidRPr="004B5B10" w14:paraId="78CA8BA6" w14:textId="77777777" w:rsidTr="000300A8">
        <w:tc>
          <w:tcPr>
            <w:tcW w:w="4310" w:type="dxa"/>
            <w:shd w:val="clear" w:color="auto" w:fill="auto"/>
          </w:tcPr>
          <w:p w14:paraId="5E857AC1" w14:textId="77777777" w:rsidR="00B359CB" w:rsidRPr="004B5B10" w:rsidRDefault="00B359CB" w:rsidP="004B5B10">
            <w:pPr>
              <w:spacing w:after="320" w:line="300" w:lineRule="atLeast"/>
              <w:rPr>
                <w:rFonts w:asciiTheme="minorHAnsi" w:hAnsiTheme="minorHAnsi" w:cstheme="minorHAnsi"/>
                <w:b/>
                <w:bCs/>
                <w:sz w:val="26"/>
                <w:szCs w:val="26"/>
              </w:rPr>
            </w:pPr>
            <w:r w:rsidRPr="004B5B10">
              <w:rPr>
                <w:rFonts w:asciiTheme="minorHAnsi" w:hAnsiTheme="minorHAnsi" w:cstheme="minorHAnsi"/>
                <w:b/>
                <w:bCs/>
                <w:sz w:val="26"/>
                <w:szCs w:val="26"/>
              </w:rPr>
              <w:t xml:space="preserve">#22-94  </w:t>
            </w:r>
            <w:r w:rsidRPr="004B5B10">
              <w:rPr>
                <w:rFonts w:asciiTheme="minorHAnsi" w:hAnsiTheme="minorHAnsi" w:cstheme="minorHAnsi"/>
                <w:b/>
                <w:bCs/>
                <w:i/>
                <w:iCs/>
                <w:sz w:val="26"/>
                <w:szCs w:val="26"/>
              </w:rPr>
              <w:t>People v. Garcia</w:t>
            </w:r>
            <w:r w:rsidRPr="004B5B10">
              <w:rPr>
                <w:rFonts w:asciiTheme="minorHAnsi" w:hAnsiTheme="minorHAnsi" w:cstheme="minorHAnsi"/>
                <w:b/>
                <w:bCs/>
                <w:sz w:val="26"/>
                <w:szCs w:val="26"/>
              </w:rPr>
              <w:t>, S273428</w:t>
            </w:r>
          </w:p>
        </w:tc>
        <w:tc>
          <w:tcPr>
            <w:tcW w:w="4320" w:type="dxa"/>
            <w:shd w:val="clear" w:color="auto" w:fill="auto"/>
          </w:tcPr>
          <w:p w14:paraId="41C334BA" w14:textId="587BBA7D" w:rsidR="00B359CB" w:rsidRPr="004B5B10" w:rsidRDefault="00B359CB" w:rsidP="004B5B10">
            <w:pPr>
              <w:spacing w:after="320" w:line="300" w:lineRule="atLeast"/>
              <w:rPr>
                <w:rFonts w:asciiTheme="minorHAnsi" w:hAnsiTheme="minorHAnsi" w:cstheme="minorHAnsi"/>
                <w:sz w:val="26"/>
                <w:szCs w:val="26"/>
              </w:rPr>
            </w:pPr>
            <w:r w:rsidRPr="004B5B10">
              <w:rPr>
                <w:rFonts w:asciiTheme="minorHAnsi" w:hAnsiTheme="minorHAnsi" w:cstheme="minorHAnsi"/>
                <w:sz w:val="26"/>
                <w:szCs w:val="26"/>
              </w:rPr>
              <w:t>(B308824; nonpublished opinion; Los Angeles County Superior Court; BA110432)</w:t>
            </w:r>
          </w:p>
        </w:tc>
      </w:tr>
      <w:tr w:rsidR="00B359CB" w:rsidRPr="004B5B10" w14:paraId="1903F678" w14:textId="77777777" w:rsidTr="000300A8">
        <w:tc>
          <w:tcPr>
            <w:tcW w:w="4310" w:type="dxa"/>
            <w:shd w:val="clear" w:color="auto" w:fill="auto"/>
          </w:tcPr>
          <w:p w14:paraId="0D5C5578" w14:textId="6B1E7C54" w:rsidR="00B359CB" w:rsidRPr="004B5B10" w:rsidRDefault="00B359CB" w:rsidP="004B5B10">
            <w:pPr>
              <w:spacing w:after="320" w:line="300" w:lineRule="atLeast"/>
              <w:rPr>
                <w:rFonts w:asciiTheme="minorHAnsi" w:hAnsiTheme="minorHAnsi" w:cstheme="minorHAnsi"/>
                <w:b/>
                <w:bCs/>
                <w:sz w:val="26"/>
                <w:szCs w:val="26"/>
              </w:rPr>
            </w:pPr>
            <w:r w:rsidRPr="004B5B10">
              <w:rPr>
                <w:rFonts w:asciiTheme="minorHAnsi" w:hAnsiTheme="minorHAnsi" w:cstheme="minorHAnsi"/>
                <w:b/>
                <w:bCs/>
                <w:sz w:val="26"/>
                <w:szCs w:val="26"/>
              </w:rPr>
              <w:t xml:space="preserve">#22-72  </w:t>
            </w:r>
            <w:r w:rsidRPr="004B5B10">
              <w:rPr>
                <w:rFonts w:asciiTheme="minorHAnsi" w:hAnsiTheme="minorHAnsi" w:cstheme="minorHAnsi"/>
                <w:b/>
                <w:bCs/>
                <w:i/>
                <w:iCs/>
                <w:sz w:val="26"/>
                <w:szCs w:val="26"/>
              </w:rPr>
              <w:t>People v. Harper</w:t>
            </w:r>
            <w:r w:rsidRPr="004B5B10">
              <w:rPr>
                <w:rFonts w:asciiTheme="minorHAnsi" w:hAnsiTheme="minorHAnsi" w:cstheme="minorHAnsi"/>
                <w:b/>
                <w:bCs/>
                <w:sz w:val="26"/>
                <w:szCs w:val="26"/>
              </w:rPr>
              <w:t>, S273175</w:t>
            </w:r>
          </w:p>
        </w:tc>
        <w:tc>
          <w:tcPr>
            <w:tcW w:w="4320" w:type="dxa"/>
            <w:shd w:val="clear" w:color="auto" w:fill="auto"/>
          </w:tcPr>
          <w:p w14:paraId="2A47A14E" w14:textId="3F0D3DF0" w:rsidR="00B359CB" w:rsidRPr="004B5B10" w:rsidRDefault="00B359CB" w:rsidP="004B5B10">
            <w:pPr>
              <w:spacing w:after="320" w:line="300" w:lineRule="atLeast"/>
              <w:rPr>
                <w:rFonts w:asciiTheme="minorHAnsi" w:hAnsiTheme="minorHAnsi" w:cstheme="minorHAnsi"/>
                <w:sz w:val="26"/>
                <w:szCs w:val="26"/>
              </w:rPr>
            </w:pPr>
            <w:r w:rsidRPr="004B5B10">
              <w:rPr>
                <w:rFonts w:asciiTheme="minorHAnsi" w:hAnsiTheme="minorHAnsi" w:cstheme="minorHAnsi"/>
                <w:sz w:val="26"/>
                <w:szCs w:val="26"/>
              </w:rPr>
              <w:t>(E074670; nonpublished opinion; Riverside County Superior Court; RIF100702)</w:t>
            </w:r>
          </w:p>
        </w:tc>
      </w:tr>
      <w:tr w:rsidR="00B359CB" w:rsidRPr="004B5B10" w14:paraId="1F79AA44" w14:textId="77777777" w:rsidTr="000300A8">
        <w:tc>
          <w:tcPr>
            <w:tcW w:w="4310" w:type="dxa"/>
            <w:shd w:val="clear" w:color="auto" w:fill="auto"/>
          </w:tcPr>
          <w:p w14:paraId="481317DC" w14:textId="77777777" w:rsidR="00B359CB" w:rsidRPr="004B5B10" w:rsidRDefault="00B359CB" w:rsidP="004B5B10">
            <w:pPr>
              <w:spacing w:after="320" w:line="300" w:lineRule="atLeast"/>
              <w:rPr>
                <w:rFonts w:asciiTheme="minorHAnsi" w:hAnsiTheme="minorHAnsi" w:cstheme="minorHAnsi"/>
                <w:b/>
                <w:bCs/>
                <w:sz w:val="26"/>
                <w:szCs w:val="26"/>
              </w:rPr>
            </w:pPr>
            <w:r w:rsidRPr="004B5B10">
              <w:rPr>
                <w:rFonts w:asciiTheme="minorHAnsi" w:hAnsiTheme="minorHAnsi" w:cstheme="minorHAnsi"/>
                <w:b/>
                <w:bCs/>
                <w:sz w:val="26"/>
                <w:szCs w:val="26"/>
              </w:rPr>
              <w:t xml:space="preserve">#22-80  </w:t>
            </w:r>
            <w:r w:rsidRPr="004B5B10">
              <w:rPr>
                <w:rFonts w:asciiTheme="minorHAnsi" w:hAnsiTheme="minorHAnsi" w:cstheme="minorHAnsi"/>
                <w:b/>
                <w:bCs/>
                <w:i/>
                <w:iCs/>
                <w:sz w:val="26"/>
                <w:szCs w:val="26"/>
              </w:rPr>
              <w:t>People v. Howard</w:t>
            </w:r>
            <w:r w:rsidRPr="004B5B10">
              <w:rPr>
                <w:rFonts w:asciiTheme="minorHAnsi" w:hAnsiTheme="minorHAnsi" w:cstheme="minorHAnsi"/>
                <w:b/>
                <w:bCs/>
                <w:sz w:val="26"/>
                <w:szCs w:val="26"/>
              </w:rPr>
              <w:t>, S273357</w:t>
            </w:r>
          </w:p>
        </w:tc>
        <w:tc>
          <w:tcPr>
            <w:tcW w:w="4320" w:type="dxa"/>
            <w:shd w:val="clear" w:color="auto" w:fill="auto"/>
          </w:tcPr>
          <w:p w14:paraId="1F872A97" w14:textId="03AB4253" w:rsidR="00B359CB" w:rsidRPr="004B5B10" w:rsidRDefault="00B359CB" w:rsidP="004B5B10">
            <w:pPr>
              <w:spacing w:after="320" w:line="300" w:lineRule="atLeast"/>
              <w:rPr>
                <w:rFonts w:asciiTheme="minorHAnsi" w:hAnsiTheme="minorHAnsi" w:cstheme="minorHAnsi"/>
                <w:sz w:val="26"/>
                <w:szCs w:val="26"/>
              </w:rPr>
            </w:pPr>
            <w:r w:rsidRPr="004B5B10">
              <w:rPr>
                <w:rFonts w:asciiTheme="minorHAnsi" w:hAnsiTheme="minorHAnsi" w:cstheme="minorHAnsi"/>
                <w:sz w:val="26"/>
                <w:szCs w:val="26"/>
              </w:rPr>
              <w:t>(E076084; nonpublished opinion; San Bernardino County Superior Court; FSB03736)</w:t>
            </w:r>
          </w:p>
        </w:tc>
      </w:tr>
      <w:tr w:rsidR="00B359CB" w:rsidRPr="004B5B10" w14:paraId="4259E932" w14:textId="77777777" w:rsidTr="000300A8">
        <w:tc>
          <w:tcPr>
            <w:tcW w:w="4310" w:type="dxa"/>
            <w:shd w:val="clear" w:color="auto" w:fill="auto"/>
          </w:tcPr>
          <w:p w14:paraId="1985AA27" w14:textId="77777777" w:rsidR="00B359CB" w:rsidRPr="004B5B10" w:rsidRDefault="00B359CB" w:rsidP="004B5B10">
            <w:pPr>
              <w:spacing w:after="320" w:line="300" w:lineRule="atLeast"/>
              <w:rPr>
                <w:rFonts w:asciiTheme="minorHAnsi" w:hAnsiTheme="minorHAnsi" w:cstheme="minorHAnsi"/>
                <w:b/>
                <w:bCs/>
                <w:sz w:val="26"/>
                <w:szCs w:val="26"/>
              </w:rPr>
            </w:pPr>
            <w:r w:rsidRPr="004B5B10">
              <w:rPr>
                <w:rFonts w:asciiTheme="minorHAnsi" w:hAnsiTheme="minorHAnsi" w:cstheme="minorHAnsi"/>
                <w:b/>
                <w:bCs/>
                <w:sz w:val="26"/>
                <w:szCs w:val="26"/>
              </w:rPr>
              <w:t xml:space="preserve">#22-60  </w:t>
            </w:r>
            <w:r w:rsidRPr="004B5B10">
              <w:rPr>
                <w:rFonts w:asciiTheme="minorHAnsi" w:hAnsiTheme="minorHAnsi" w:cstheme="minorHAnsi"/>
                <w:b/>
                <w:bCs/>
                <w:i/>
                <w:iCs/>
                <w:sz w:val="26"/>
                <w:szCs w:val="26"/>
              </w:rPr>
              <w:t>People v. McDaniel</w:t>
            </w:r>
            <w:r w:rsidRPr="004B5B10">
              <w:rPr>
                <w:rFonts w:asciiTheme="minorHAnsi" w:hAnsiTheme="minorHAnsi" w:cstheme="minorHAnsi"/>
                <w:b/>
                <w:bCs/>
                <w:sz w:val="26"/>
                <w:szCs w:val="26"/>
              </w:rPr>
              <w:t>, S272828</w:t>
            </w:r>
          </w:p>
        </w:tc>
        <w:tc>
          <w:tcPr>
            <w:tcW w:w="4320" w:type="dxa"/>
            <w:shd w:val="clear" w:color="auto" w:fill="auto"/>
          </w:tcPr>
          <w:p w14:paraId="37DD5D88" w14:textId="29E1BC0B" w:rsidR="00B359CB" w:rsidRPr="004B5B10" w:rsidRDefault="00B359CB" w:rsidP="004B5B10">
            <w:pPr>
              <w:spacing w:after="320" w:line="300" w:lineRule="atLeast"/>
              <w:rPr>
                <w:rFonts w:asciiTheme="minorHAnsi" w:hAnsiTheme="minorHAnsi" w:cstheme="minorHAnsi"/>
                <w:sz w:val="26"/>
                <w:szCs w:val="26"/>
              </w:rPr>
            </w:pPr>
            <w:r w:rsidRPr="004B5B10">
              <w:rPr>
                <w:rFonts w:asciiTheme="minorHAnsi" w:hAnsiTheme="minorHAnsi" w:cstheme="minorHAnsi"/>
                <w:sz w:val="26"/>
                <w:szCs w:val="26"/>
              </w:rPr>
              <w:t>(C092707; nonpublished opinion; Sacramento County Superior Court; 95F07955)</w:t>
            </w:r>
          </w:p>
        </w:tc>
      </w:tr>
      <w:tr w:rsidR="00B359CB" w:rsidRPr="004B5B10" w14:paraId="42906FA2" w14:textId="77777777" w:rsidTr="000300A8">
        <w:tc>
          <w:tcPr>
            <w:tcW w:w="4310" w:type="dxa"/>
            <w:shd w:val="clear" w:color="auto" w:fill="auto"/>
          </w:tcPr>
          <w:p w14:paraId="0E540540" w14:textId="77777777" w:rsidR="00B359CB" w:rsidRPr="004B5B10" w:rsidRDefault="00B359CB" w:rsidP="004B5B10">
            <w:pPr>
              <w:spacing w:after="320" w:line="300" w:lineRule="atLeast"/>
              <w:rPr>
                <w:rFonts w:asciiTheme="minorHAnsi" w:hAnsiTheme="minorHAnsi" w:cstheme="minorHAnsi"/>
                <w:b/>
                <w:bCs/>
                <w:sz w:val="26"/>
                <w:szCs w:val="26"/>
              </w:rPr>
            </w:pPr>
            <w:r w:rsidRPr="004B5B10">
              <w:rPr>
                <w:rFonts w:asciiTheme="minorHAnsi" w:hAnsiTheme="minorHAnsi" w:cstheme="minorHAnsi"/>
                <w:b/>
                <w:bCs/>
                <w:sz w:val="26"/>
                <w:szCs w:val="26"/>
              </w:rPr>
              <w:t xml:space="preserve">#22-61  </w:t>
            </w:r>
            <w:r w:rsidRPr="004B5B10">
              <w:rPr>
                <w:rFonts w:asciiTheme="minorHAnsi" w:hAnsiTheme="minorHAnsi" w:cstheme="minorHAnsi"/>
                <w:b/>
                <w:bCs/>
                <w:i/>
                <w:iCs/>
                <w:sz w:val="26"/>
                <w:szCs w:val="26"/>
              </w:rPr>
              <w:t>People v. McPherson</w:t>
            </w:r>
            <w:r w:rsidRPr="004B5B10">
              <w:rPr>
                <w:rFonts w:asciiTheme="minorHAnsi" w:hAnsiTheme="minorHAnsi" w:cstheme="minorHAnsi"/>
                <w:b/>
                <w:bCs/>
                <w:sz w:val="26"/>
                <w:szCs w:val="26"/>
              </w:rPr>
              <w:t>, S272966</w:t>
            </w:r>
          </w:p>
        </w:tc>
        <w:tc>
          <w:tcPr>
            <w:tcW w:w="4320" w:type="dxa"/>
            <w:shd w:val="clear" w:color="auto" w:fill="auto"/>
          </w:tcPr>
          <w:p w14:paraId="485A12CF" w14:textId="6495BF70" w:rsidR="00B359CB" w:rsidRPr="004B5B10" w:rsidRDefault="00B359CB" w:rsidP="004B5B10">
            <w:pPr>
              <w:spacing w:after="320" w:line="300" w:lineRule="atLeast"/>
              <w:rPr>
                <w:rFonts w:asciiTheme="minorHAnsi" w:hAnsiTheme="minorHAnsi" w:cstheme="minorHAnsi"/>
                <w:sz w:val="26"/>
                <w:szCs w:val="26"/>
              </w:rPr>
            </w:pPr>
            <w:r w:rsidRPr="004B5B10">
              <w:rPr>
                <w:rFonts w:asciiTheme="minorHAnsi" w:hAnsiTheme="minorHAnsi" w:cstheme="minorHAnsi"/>
                <w:sz w:val="26"/>
                <w:szCs w:val="26"/>
              </w:rPr>
              <w:t>(C093340; nonpublished opinion; Sacramento County Superior Court; 11F05321)</w:t>
            </w:r>
          </w:p>
        </w:tc>
      </w:tr>
      <w:tr w:rsidR="00B359CB" w:rsidRPr="004B5B10" w14:paraId="2288AAA4" w14:textId="77777777" w:rsidTr="000300A8">
        <w:tc>
          <w:tcPr>
            <w:tcW w:w="4310" w:type="dxa"/>
            <w:shd w:val="clear" w:color="auto" w:fill="auto"/>
          </w:tcPr>
          <w:p w14:paraId="3A176AED" w14:textId="77777777" w:rsidR="00B359CB" w:rsidRPr="004B5B10" w:rsidRDefault="00B359CB" w:rsidP="004B5B10">
            <w:pPr>
              <w:spacing w:after="320" w:line="300" w:lineRule="atLeast"/>
              <w:rPr>
                <w:rFonts w:asciiTheme="minorHAnsi" w:hAnsiTheme="minorHAnsi" w:cstheme="minorHAnsi"/>
                <w:b/>
                <w:bCs/>
                <w:sz w:val="26"/>
                <w:szCs w:val="26"/>
              </w:rPr>
            </w:pPr>
            <w:r w:rsidRPr="004B5B10">
              <w:rPr>
                <w:rFonts w:asciiTheme="minorHAnsi" w:hAnsiTheme="minorHAnsi" w:cstheme="minorHAnsi"/>
                <w:b/>
                <w:bCs/>
                <w:sz w:val="26"/>
                <w:szCs w:val="26"/>
              </w:rPr>
              <w:t xml:space="preserve">#22-96  </w:t>
            </w:r>
            <w:r w:rsidRPr="004B5B10">
              <w:rPr>
                <w:rFonts w:asciiTheme="minorHAnsi" w:hAnsiTheme="minorHAnsi" w:cstheme="minorHAnsi"/>
                <w:b/>
                <w:bCs/>
                <w:i/>
                <w:iCs/>
                <w:sz w:val="26"/>
                <w:szCs w:val="26"/>
              </w:rPr>
              <w:t>People v. Pierce</w:t>
            </w:r>
            <w:r w:rsidRPr="004B5B10">
              <w:rPr>
                <w:rFonts w:asciiTheme="minorHAnsi" w:hAnsiTheme="minorHAnsi" w:cstheme="minorHAnsi"/>
                <w:b/>
                <w:bCs/>
                <w:sz w:val="26"/>
                <w:szCs w:val="26"/>
              </w:rPr>
              <w:t>, S273403</w:t>
            </w:r>
          </w:p>
        </w:tc>
        <w:tc>
          <w:tcPr>
            <w:tcW w:w="4320" w:type="dxa"/>
            <w:shd w:val="clear" w:color="auto" w:fill="auto"/>
          </w:tcPr>
          <w:p w14:paraId="2F6DCE1B" w14:textId="66809B71" w:rsidR="00B359CB" w:rsidRPr="004B5B10" w:rsidRDefault="00B359CB" w:rsidP="004B5B10">
            <w:pPr>
              <w:spacing w:after="320" w:line="300" w:lineRule="atLeast"/>
              <w:rPr>
                <w:rFonts w:asciiTheme="minorHAnsi" w:hAnsiTheme="minorHAnsi" w:cstheme="minorHAnsi"/>
                <w:sz w:val="26"/>
                <w:szCs w:val="26"/>
              </w:rPr>
            </w:pPr>
            <w:r w:rsidRPr="004B5B10">
              <w:rPr>
                <w:rFonts w:asciiTheme="minorHAnsi" w:hAnsiTheme="minorHAnsi" w:cstheme="minorHAnsi"/>
                <w:sz w:val="26"/>
                <w:szCs w:val="26"/>
              </w:rPr>
              <w:t>(C093003; nonpublished opinion; Sacramento County Superior Court; 06F04599)</w:t>
            </w:r>
          </w:p>
        </w:tc>
      </w:tr>
      <w:tr w:rsidR="00B359CB" w:rsidRPr="004B5B10" w14:paraId="5A9977F7" w14:textId="77777777" w:rsidTr="000300A8">
        <w:tc>
          <w:tcPr>
            <w:tcW w:w="4310" w:type="dxa"/>
            <w:shd w:val="clear" w:color="auto" w:fill="auto"/>
          </w:tcPr>
          <w:p w14:paraId="70071E55" w14:textId="5B6D95A1" w:rsidR="00B359CB" w:rsidRPr="004B5B10" w:rsidRDefault="00B359CB" w:rsidP="004B5B10">
            <w:pPr>
              <w:spacing w:after="320" w:line="300" w:lineRule="atLeast"/>
              <w:rPr>
                <w:rFonts w:asciiTheme="minorHAnsi" w:hAnsiTheme="minorHAnsi" w:cstheme="minorHAnsi"/>
                <w:b/>
                <w:bCs/>
                <w:sz w:val="26"/>
                <w:szCs w:val="26"/>
              </w:rPr>
            </w:pPr>
            <w:r w:rsidRPr="004B5B10">
              <w:rPr>
                <w:rFonts w:asciiTheme="minorHAnsi" w:hAnsiTheme="minorHAnsi" w:cstheme="minorHAnsi"/>
                <w:b/>
                <w:bCs/>
                <w:sz w:val="26"/>
                <w:szCs w:val="26"/>
              </w:rPr>
              <w:t xml:space="preserve">#22-51  </w:t>
            </w:r>
            <w:r w:rsidRPr="004B5B10">
              <w:rPr>
                <w:rFonts w:asciiTheme="minorHAnsi" w:hAnsiTheme="minorHAnsi" w:cstheme="minorHAnsi"/>
                <w:b/>
                <w:bCs/>
                <w:i/>
                <w:iCs/>
                <w:sz w:val="26"/>
                <w:szCs w:val="26"/>
              </w:rPr>
              <w:t>People v. Rangel</w:t>
            </w:r>
            <w:r w:rsidRPr="004B5B10">
              <w:rPr>
                <w:rFonts w:asciiTheme="minorHAnsi" w:hAnsiTheme="minorHAnsi" w:cstheme="minorHAnsi"/>
                <w:b/>
                <w:bCs/>
                <w:sz w:val="26"/>
                <w:szCs w:val="26"/>
              </w:rPr>
              <w:t>, S272493</w:t>
            </w:r>
          </w:p>
        </w:tc>
        <w:tc>
          <w:tcPr>
            <w:tcW w:w="4320" w:type="dxa"/>
            <w:shd w:val="clear" w:color="auto" w:fill="auto"/>
          </w:tcPr>
          <w:p w14:paraId="5C238B07" w14:textId="7618D4F8" w:rsidR="00B359CB" w:rsidRPr="004B5B10" w:rsidRDefault="00B359CB" w:rsidP="004B5B10">
            <w:pPr>
              <w:spacing w:after="320" w:line="300" w:lineRule="atLeast"/>
              <w:rPr>
                <w:rFonts w:asciiTheme="minorHAnsi" w:hAnsiTheme="minorHAnsi" w:cstheme="minorHAnsi"/>
                <w:sz w:val="26"/>
                <w:szCs w:val="26"/>
              </w:rPr>
            </w:pPr>
            <w:r w:rsidRPr="004B5B10">
              <w:rPr>
                <w:rFonts w:asciiTheme="minorHAnsi" w:hAnsiTheme="minorHAnsi" w:cstheme="minorHAnsi"/>
                <w:sz w:val="26"/>
                <w:szCs w:val="26"/>
              </w:rPr>
              <w:t>(B311083; nonpublished opinion; Los Angeles County Superior Court; KA050596)</w:t>
            </w:r>
          </w:p>
        </w:tc>
      </w:tr>
      <w:tr w:rsidR="00B359CB" w:rsidRPr="004B5B10" w14:paraId="4C1478CD" w14:textId="77777777" w:rsidTr="000300A8">
        <w:tc>
          <w:tcPr>
            <w:tcW w:w="4310" w:type="dxa"/>
            <w:shd w:val="clear" w:color="auto" w:fill="auto"/>
          </w:tcPr>
          <w:p w14:paraId="4C9C1233" w14:textId="77777777" w:rsidR="00B359CB" w:rsidRPr="004B5B10" w:rsidRDefault="00B359CB" w:rsidP="004B5B10">
            <w:pPr>
              <w:spacing w:after="320" w:line="300" w:lineRule="atLeast"/>
              <w:rPr>
                <w:rFonts w:asciiTheme="minorHAnsi" w:hAnsiTheme="minorHAnsi" w:cstheme="minorHAnsi"/>
                <w:b/>
                <w:bCs/>
                <w:sz w:val="26"/>
                <w:szCs w:val="26"/>
              </w:rPr>
            </w:pPr>
            <w:r w:rsidRPr="004B5B10">
              <w:rPr>
                <w:rFonts w:asciiTheme="minorHAnsi" w:hAnsiTheme="minorHAnsi" w:cstheme="minorHAnsi"/>
                <w:b/>
                <w:bCs/>
                <w:sz w:val="26"/>
                <w:szCs w:val="26"/>
              </w:rPr>
              <w:lastRenderedPageBreak/>
              <w:t xml:space="preserve">#22-38  </w:t>
            </w:r>
            <w:r w:rsidRPr="004B5B10">
              <w:rPr>
                <w:rFonts w:asciiTheme="minorHAnsi" w:hAnsiTheme="minorHAnsi" w:cstheme="minorHAnsi"/>
                <w:b/>
                <w:bCs/>
                <w:i/>
                <w:iCs/>
                <w:sz w:val="26"/>
                <w:szCs w:val="26"/>
              </w:rPr>
              <w:t>People v. Whitehead</w:t>
            </w:r>
            <w:r w:rsidRPr="004B5B10">
              <w:rPr>
                <w:rFonts w:asciiTheme="minorHAnsi" w:hAnsiTheme="minorHAnsi" w:cstheme="minorHAnsi"/>
                <w:b/>
                <w:bCs/>
                <w:sz w:val="26"/>
                <w:szCs w:val="26"/>
              </w:rPr>
              <w:t>, S272578</w:t>
            </w:r>
          </w:p>
        </w:tc>
        <w:tc>
          <w:tcPr>
            <w:tcW w:w="4320" w:type="dxa"/>
            <w:shd w:val="clear" w:color="auto" w:fill="auto"/>
          </w:tcPr>
          <w:p w14:paraId="1A7315B5" w14:textId="77777777" w:rsidR="00B359CB" w:rsidRPr="004B5B10" w:rsidRDefault="00B359CB" w:rsidP="004B5B10">
            <w:pPr>
              <w:spacing w:after="320" w:line="300" w:lineRule="atLeast"/>
              <w:rPr>
                <w:rFonts w:asciiTheme="minorHAnsi" w:hAnsiTheme="minorHAnsi" w:cstheme="minorHAnsi"/>
                <w:sz w:val="26"/>
                <w:szCs w:val="26"/>
              </w:rPr>
            </w:pPr>
            <w:r w:rsidRPr="004B5B10">
              <w:rPr>
                <w:rFonts w:asciiTheme="minorHAnsi" w:hAnsiTheme="minorHAnsi" w:cstheme="minorHAnsi"/>
                <w:sz w:val="26"/>
                <w:szCs w:val="26"/>
              </w:rPr>
              <w:t>(C093261; nonpublished opinion; Sacramento County Superior Court; 08F03645)</w:t>
            </w:r>
          </w:p>
        </w:tc>
      </w:tr>
      <w:tr w:rsidR="00B359CB" w:rsidRPr="004B5B10" w14:paraId="2731B520" w14:textId="77777777" w:rsidTr="000300A8">
        <w:tc>
          <w:tcPr>
            <w:tcW w:w="4310" w:type="dxa"/>
            <w:shd w:val="clear" w:color="auto" w:fill="auto"/>
          </w:tcPr>
          <w:p w14:paraId="486B2537" w14:textId="77777777" w:rsidR="00B359CB" w:rsidRPr="004B5B10" w:rsidRDefault="00B359CB" w:rsidP="004B5B10">
            <w:pPr>
              <w:spacing w:after="320" w:line="300" w:lineRule="atLeast"/>
              <w:rPr>
                <w:rFonts w:asciiTheme="minorHAnsi" w:hAnsiTheme="minorHAnsi" w:cstheme="minorHAnsi"/>
                <w:b/>
                <w:bCs/>
                <w:sz w:val="26"/>
                <w:szCs w:val="26"/>
              </w:rPr>
            </w:pPr>
            <w:r w:rsidRPr="004B5B10">
              <w:rPr>
                <w:rFonts w:asciiTheme="minorHAnsi" w:hAnsiTheme="minorHAnsi" w:cstheme="minorHAnsi"/>
                <w:b/>
                <w:bCs/>
                <w:sz w:val="26"/>
                <w:szCs w:val="26"/>
              </w:rPr>
              <w:t xml:space="preserve">#22-47  </w:t>
            </w:r>
            <w:r w:rsidRPr="004B5B10">
              <w:rPr>
                <w:rFonts w:asciiTheme="minorHAnsi" w:hAnsiTheme="minorHAnsi" w:cstheme="minorHAnsi"/>
                <w:b/>
                <w:bCs/>
                <w:i/>
                <w:iCs/>
                <w:sz w:val="26"/>
                <w:szCs w:val="26"/>
              </w:rPr>
              <w:t>People v. Wilson</w:t>
            </w:r>
            <w:r w:rsidRPr="004B5B10">
              <w:rPr>
                <w:rFonts w:asciiTheme="minorHAnsi" w:hAnsiTheme="minorHAnsi" w:cstheme="minorHAnsi"/>
                <w:b/>
                <w:bCs/>
                <w:sz w:val="26"/>
                <w:szCs w:val="26"/>
              </w:rPr>
              <w:t>, S272617</w:t>
            </w:r>
          </w:p>
        </w:tc>
        <w:tc>
          <w:tcPr>
            <w:tcW w:w="4320" w:type="dxa"/>
            <w:shd w:val="clear" w:color="auto" w:fill="auto"/>
          </w:tcPr>
          <w:p w14:paraId="517F9987" w14:textId="24965924" w:rsidR="00B359CB" w:rsidRPr="004B5B10" w:rsidRDefault="00B359CB" w:rsidP="004B5B10">
            <w:pPr>
              <w:spacing w:after="320" w:line="300" w:lineRule="atLeast"/>
              <w:rPr>
                <w:rFonts w:asciiTheme="minorHAnsi" w:hAnsiTheme="minorHAnsi" w:cstheme="minorHAnsi"/>
                <w:sz w:val="26"/>
                <w:szCs w:val="26"/>
              </w:rPr>
            </w:pPr>
            <w:r w:rsidRPr="004B5B10">
              <w:rPr>
                <w:rFonts w:asciiTheme="minorHAnsi" w:hAnsiTheme="minorHAnsi" w:cstheme="minorHAnsi"/>
                <w:sz w:val="26"/>
                <w:szCs w:val="26"/>
              </w:rPr>
              <w:t>(C092385; nonpublished opinion; Sacramento County Superior Court; 04F06813)</w:t>
            </w:r>
          </w:p>
        </w:tc>
      </w:tr>
      <w:tr w:rsidR="00B359CB" w:rsidRPr="004B5B10" w14:paraId="72DB1B6D" w14:textId="77777777" w:rsidTr="000300A8">
        <w:tc>
          <w:tcPr>
            <w:tcW w:w="4310" w:type="dxa"/>
            <w:shd w:val="clear" w:color="auto" w:fill="auto"/>
          </w:tcPr>
          <w:p w14:paraId="38FE4160" w14:textId="77777777" w:rsidR="00B359CB" w:rsidRPr="004B5B10" w:rsidRDefault="00B359CB" w:rsidP="004B5B10">
            <w:pPr>
              <w:spacing w:after="320" w:line="300" w:lineRule="atLeast"/>
              <w:rPr>
                <w:rFonts w:asciiTheme="minorHAnsi" w:hAnsiTheme="minorHAnsi" w:cstheme="minorHAnsi"/>
                <w:b/>
                <w:bCs/>
                <w:sz w:val="26"/>
                <w:szCs w:val="26"/>
              </w:rPr>
            </w:pPr>
            <w:r w:rsidRPr="004B5B10">
              <w:rPr>
                <w:rFonts w:asciiTheme="minorHAnsi" w:hAnsiTheme="minorHAnsi" w:cstheme="minorHAnsi"/>
                <w:b/>
                <w:bCs/>
                <w:sz w:val="26"/>
                <w:szCs w:val="26"/>
              </w:rPr>
              <w:t xml:space="preserve">#22-110  </w:t>
            </w:r>
            <w:r w:rsidRPr="004B5B10">
              <w:rPr>
                <w:rFonts w:asciiTheme="minorHAnsi" w:hAnsiTheme="minorHAnsi" w:cstheme="minorHAnsi"/>
                <w:b/>
                <w:bCs/>
                <w:i/>
                <w:iCs/>
                <w:sz w:val="26"/>
                <w:szCs w:val="26"/>
              </w:rPr>
              <w:t>People v. Hundley</w:t>
            </w:r>
            <w:r w:rsidRPr="004B5B10">
              <w:rPr>
                <w:rFonts w:asciiTheme="minorHAnsi" w:hAnsiTheme="minorHAnsi" w:cstheme="minorHAnsi"/>
                <w:b/>
                <w:bCs/>
                <w:sz w:val="26"/>
                <w:szCs w:val="26"/>
              </w:rPr>
              <w:t>, S273685</w:t>
            </w:r>
          </w:p>
        </w:tc>
        <w:tc>
          <w:tcPr>
            <w:tcW w:w="4320" w:type="dxa"/>
            <w:shd w:val="clear" w:color="auto" w:fill="auto"/>
          </w:tcPr>
          <w:p w14:paraId="0D1ED4EC" w14:textId="42280532" w:rsidR="00B359CB" w:rsidRPr="004B5B10" w:rsidRDefault="00B359CB" w:rsidP="004B5B10">
            <w:pPr>
              <w:spacing w:after="320" w:line="300" w:lineRule="atLeast"/>
              <w:rPr>
                <w:rFonts w:asciiTheme="minorHAnsi" w:hAnsiTheme="minorHAnsi" w:cstheme="minorHAnsi"/>
                <w:sz w:val="26"/>
                <w:szCs w:val="26"/>
              </w:rPr>
            </w:pPr>
            <w:r w:rsidRPr="004B5B10">
              <w:rPr>
                <w:rFonts w:asciiTheme="minorHAnsi" w:hAnsiTheme="minorHAnsi" w:cstheme="minorHAnsi"/>
                <w:sz w:val="26"/>
                <w:szCs w:val="26"/>
              </w:rPr>
              <w:t>(C092618; nonpublished opinion; Sacramento County Superior Court; 08F09808)</w:t>
            </w:r>
          </w:p>
        </w:tc>
      </w:tr>
      <w:tr w:rsidR="00B359CB" w:rsidRPr="004B5B10" w14:paraId="5249B65B" w14:textId="77777777" w:rsidTr="000300A8">
        <w:tc>
          <w:tcPr>
            <w:tcW w:w="4310" w:type="dxa"/>
            <w:shd w:val="clear" w:color="auto" w:fill="auto"/>
          </w:tcPr>
          <w:p w14:paraId="5AB81F8E" w14:textId="77777777" w:rsidR="00B359CB" w:rsidRPr="004B5B10" w:rsidRDefault="00B359CB" w:rsidP="004B5B10">
            <w:pPr>
              <w:spacing w:after="320" w:line="300" w:lineRule="atLeast"/>
              <w:rPr>
                <w:rFonts w:asciiTheme="minorHAnsi" w:hAnsiTheme="minorHAnsi" w:cstheme="minorHAnsi"/>
                <w:b/>
                <w:bCs/>
                <w:sz w:val="26"/>
                <w:szCs w:val="26"/>
              </w:rPr>
            </w:pPr>
            <w:r w:rsidRPr="004B5B10">
              <w:rPr>
                <w:rFonts w:asciiTheme="minorHAnsi" w:hAnsiTheme="minorHAnsi" w:cstheme="minorHAnsi"/>
                <w:b/>
                <w:bCs/>
                <w:sz w:val="26"/>
                <w:szCs w:val="26"/>
              </w:rPr>
              <w:t xml:space="preserve">#22-98  </w:t>
            </w:r>
            <w:r w:rsidRPr="004B5B10">
              <w:rPr>
                <w:rFonts w:asciiTheme="minorHAnsi" w:hAnsiTheme="minorHAnsi" w:cstheme="minorHAnsi"/>
                <w:b/>
                <w:bCs/>
                <w:i/>
                <w:iCs/>
                <w:sz w:val="26"/>
                <w:szCs w:val="26"/>
              </w:rPr>
              <w:t>People v. Richardson</w:t>
            </w:r>
            <w:r w:rsidRPr="004B5B10">
              <w:rPr>
                <w:rFonts w:asciiTheme="minorHAnsi" w:hAnsiTheme="minorHAnsi" w:cstheme="minorHAnsi"/>
                <w:b/>
                <w:bCs/>
                <w:sz w:val="26"/>
                <w:szCs w:val="26"/>
              </w:rPr>
              <w:t>, S273249</w:t>
            </w:r>
          </w:p>
        </w:tc>
        <w:tc>
          <w:tcPr>
            <w:tcW w:w="4320" w:type="dxa"/>
            <w:shd w:val="clear" w:color="auto" w:fill="auto"/>
          </w:tcPr>
          <w:p w14:paraId="649F6745" w14:textId="2F69F3DB" w:rsidR="00B359CB" w:rsidRPr="004B5B10" w:rsidRDefault="00B359CB" w:rsidP="004B5B10">
            <w:pPr>
              <w:spacing w:after="320" w:line="300" w:lineRule="atLeast"/>
              <w:rPr>
                <w:rFonts w:asciiTheme="minorHAnsi" w:hAnsiTheme="minorHAnsi" w:cstheme="minorHAnsi"/>
                <w:sz w:val="26"/>
                <w:szCs w:val="26"/>
              </w:rPr>
            </w:pPr>
            <w:r w:rsidRPr="004B5B10">
              <w:rPr>
                <w:rFonts w:asciiTheme="minorHAnsi" w:hAnsiTheme="minorHAnsi" w:cstheme="minorHAnsi"/>
                <w:sz w:val="26"/>
                <w:szCs w:val="26"/>
              </w:rPr>
              <w:t>(B308673; nonpublished opinion; Los Angeles County Superior Court; PA024559)</w:t>
            </w:r>
          </w:p>
        </w:tc>
      </w:tr>
      <w:tr w:rsidR="00B359CB" w:rsidRPr="004B5B10" w14:paraId="5FDD1EDB" w14:textId="77777777" w:rsidTr="000300A8">
        <w:tc>
          <w:tcPr>
            <w:tcW w:w="4310" w:type="dxa"/>
            <w:shd w:val="clear" w:color="auto" w:fill="auto"/>
          </w:tcPr>
          <w:p w14:paraId="70E5974C" w14:textId="77777777" w:rsidR="00B359CB" w:rsidRPr="004B5B10" w:rsidRDefault="00B359CB" w:rsidP="004B5B10">
            <w:pPr>
              <w:spacing w:after="320" w:line="300" w:lineRule="atLeast"/>
              <w:rPr>
                <w:rFonts w:asciiTheme="minorHAnsi" w:hAnsiTheme="minorHAnsi" w:cstheme="minorHAnsi"/>
                <w:b/>
                <w:bCs/>
                <w:sz w:val="26"/>
                <w:szCs w:val="26"/>
              </w:rPr>
            </w:pPr>
            <w:r w:rsidRPr="004B5B10">
              <w:rPr>
                <w:rFonts w:asciiTheme="minorHAnsi" w:hAnsiTheme="minorHAnsi" w:cstheme="minorHAnsi"/>
                <w:b/>
                <w:bCs/>
                <w:sz w:val="26"/>
                <w:szCs w:val="26"/>
              </w:rPr>
              <w:t xml:space="preserve">#22-71  </w:t>
            </w:r>
            <w:r w:rsidRPr="004B5B10">
              <w:rPr>
                <w:rFonts w:asciiTheme="minorHAnsi" w:hAnsiTheme="minorHAnsi" w:cstheme="minorHAnsi"/>
                <w:b/>
                <w:bCs/>
                <w:i/>
                <w:iCs/>
                <w:sz w:val="26"/>
                <w:szCs w:val="26"/>
              </w:rPr>
              <w:t>People v. Wallace</w:t>
            </w:r>
            <w:r w:rsidRPr="004B5B10">
              <w:rPr>
                <w:rFonts w:asciiTheme="minorHAnsi" w:hAnsiTheme="minorHAnsi" w:cstheme="minorHAnsi"/>
                <w:b/>
                <w:bCs/>
                <w:sz w:val="26"/>
                <w:szCs w:val="26"/>
              </w:rPr>
              <w:t>, S273024</w:t>
            </w:r>
          </w:p>
        </w:tc>
        <w:tc>
          <w:tcPr>
            <w:tcW w:w="4320" w:type="dxa"/>
            <w:shd w:val="clear" w:color="auto" w:fill="auto"/>
          </w:tcPr>
          <w:p w14:paraId="32EA416F" w14:textId="77777777" w:rsidR="00B359CB" w:rsidRPr="004B5B10" w:rsidRDefault="00B359CB" w:rsidP="004B5B10">
            <w:pPr>
              <w:spacing w:after="320" w:line="300" w:lineRule="atLeast"/>
              <w:rPr>
                <w:rFonts w:asciiTheme="minorHAnsi" w:hAnsiTheme="minorHAnsi" w:cstheme="minorHAnsi"/>
                <w:sz w:val="26"/>
                <w:szCs w:val="26"/>
              </w:rPr>
            </w:pPr>
            <w:r w:rsidRPr="004B5B10">
              <w:rPr>
                <w:rFonts w:asciiTheme="minorHAnsi" w:hAnsiTheme="minorHAnsi" w:cstheme="minorHAnsi"/>
                <w:sz w:val="26"/>
                <w:szCs w:val="26"/>
              </w:rPr>
              <w:t>(C092426; nonpublished opinion; Sacramento County Superior Court; 95F02739)</w:t>
            </w:r>
          </w:p>
        </w:tc>
      </w:tr>
    </w:tbl>
    <w:p w14:paraId="6AB3C3C6" w14:textId="77777777" w:rsidR="004B5B10" w:rsidRPr="004B5B10" w:rsidRDefault="004B5B10" w:rsidP="004B5B10">
      <w:pPr>
        <w:spacing w:line="300" w:lineRule="atLeast"/>
        <w:rPr>
          <w:rFonts w:asciiTheme="minorHAnsi" w:hAnsiTheme="minorHAnsi" w:cstheme="minorHAnsi"/>
          <w:sz w:val="26"/>
          <w:szCs w:val="26"/>
        </w:rPr>
      </w:pPr>
    </w:p>
    <w:p w14:paraId="40F5A81A" w14:textId="09645F96" w:rsidR="00B359CB" w:rsidRPr="004B5B10" w:rsidRDefault="00B359CB" w:rsidP="004B5B10">
      <w:pPr>
        <w:spacing w:after="320" w:line="300" w:lineRule="atLeast"/>
        <w:rPr>
          <w:rFonts w:asciiTheme="minorHAnsi" w:hAnsiTheme="minorHAnsi" w:cstheme="minorHAnsi"/>
          <w:sz w:val="26"/>
          <w:szCs w:val="26"/>
        </w:rPr>
      </w:pPr>
      <w:r w:rsidRPr="004B5B10">
        <w:rPr>
          <w:rFonts w:asciiTheme="minorHAnsi" w:hAnsiTheme="minorHAnsi" w:cstheme="minorHAnsi"/>
          <w:sz w:val="26"/>
          <w:szCs w:val="26"/>
        </w:rPr>
        <w:t xml:space="preserve">Review in the following cases, which were granted and held for </w:t>
      </w:r>
      <w:r w:rsidRPr="004B5B10">
        <w:rPr>
          <w:rFonts w:asciiTheme="minorHAnsi" w:hAnsiTheme="minorHAnsi" w:cstheme="minorHAnsi"/>
          <w:i/>
          <w:iCs/>
          <w:sz w:val="26"/>
          <w:szCs w:val="26"/>
        </w:rPr>
        <w:t>People v. Strong</w:t>
      </w:r>
      <w:r w:rsidRPr="004B5B10">
        <w:rPr>
          <w:rFonts w:asciiTheme="minorHAnsi" w:hAnsiTheme="minorHAnsi" w:cstheme="minorHAnsi"/>
          <w:sz w:val="26"/>
          <w:szCs w:val="26"/>
        </w:rPr>
        <w:t xml:space="preserve"> (2022) 13 Cal.5th 698, was dismissed: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4320"/>
      </w:tblGrid>
      <w:tr w:rsidR="00B359CB" w:rsidRPr="004B5B10" w14:paraId="7AF5B007" w14:textId="77777777" w:rsidTr="000300A8">
        <w:trPr>
          <w:cantSplit/>
        </w:trPr>
        <w:tc>
          <w:tcPr>
            <w:tcW w:w="4310" w:type="dxa"/>
            <w:shd w:val="clear" w:color="auto" w:fill="auto"/>
          </w:tcPr>
          <w:p w14:paraId="2B3EC08B" w14:textId="77777777" w:rsidR="00B359CB" w:rsidRPr="004B5B10" w:rsidRDefault="00B359CB" w:rsidP="004B5B10">
            <w:pPr>
              <w:spacing w:after="320" w:line="300" w:lineRule="atLeast"/>
              <w:rPr>
                <w:rFonts w:asciiTheme="minorHAnsi" w:hAnsiTheme="minorHAnsi" w:cstheme="minorHAnsi"/>
                <w:b/>
                <w:bCs/>
                <w:sz w:val="26"/>
                <w:szCs w:val="26"/>
              </w:rPr>
            </w:pPr>
            <w:r w:rsidRPr="004B5B10">
              <w:rPr>
                <w:rFonts w:asciiTheme="minorHAnsi" w:hAnsiTheme="minorHAnsi" w:cstheme="minorHAnsi"/>
                <w:b/>
                <w:bCs/>
                <w:sz w:val="26"/>
                <w:szCs w:val="26"/>
              </w:rPr>
              <w:t xml:space="preserve">#21-457  </w:t>
            </w:r>
            <w:r w:rsidRPr="004B5B10">
              <w:rPr>
                <w:rFonts w:asciiTheme="minorHAnsi" w:hAnsiTheme="minorHAnsi" w:cstheme="minorHAnsi"/>
                <w:b/>
                <w:bCs/>
                <w:i/>
                <w:iCs/>
                <w:sz w:val="26"/>
                <w:szCs w:val="26"/>
              </w:rPr>
              <w:t>People v. Cervantes</w:t>
            </w:r>
            <w:r w:rsidRPr="004B5B10">
              <w:rPr>
                <w:rFonts w:asciiTheme="minorHAnsi" w:hAnsiTheme="minorHAnsi" w:cstheme="minorHAnsi"/>
                <w:b/>
                <w:bCs/>
                <w:sz w:val="26"/>
                <w:szCs w:val="26"/>
              </w:rPr>
              <w:t>, S270208</w:t>
            </w:r>
          </w:p>
        </w:tc>
        <w:tc>
          <w:tcPr>
            <w:tcW w:w="4320" w:type="dxa"/>
            <w:shd w:val="clear" w:color="auto" w:fill="auto"/>
          </w:tcPr>
          <w:p w14:paraId="216D58D5" w14:textId="77777777" w:rsidR="00B359CB" w:rsidRPr="004B5B10" w:rsidRDefault="00B359CB" w:rsidP="004B5B10">
            <w:pPr>
              <w:spacing w:after="320" w:line="300" w:lineRule="atLeast"/>
              <w:rPr>
                <w:rFonts w:asciiTheme="minorHAnsi" w:hAnsiTheme="minorHAnsi" w:cstheme="minorHAnsi"/>
                <w:sz w:val="26"/>
                <w:szCs w:val="26"/>
              </w:rPr>
            </w:pPr>
            <w:r w:rsidRPr="004B5B10">
              <w:rPr>
                <w:rFonts w:asciiTheme="minorHAnsi" w:hAnsiTheme="minorHAnsi" w:cstheme="minorHAnsi"/>
                <w:sz w:val="26"/>
                <w:szCs w:val="26"/>
              </w:rPr>
              <w:t>(B304428; nonpublished opinion; Los Angeles County Superior Court; BA081733)</w:t>
            </w:r>
          </w:p>
        </w:tc>
      </w:tr>
      <w:tr w:rsidR="00B359CB" w:rsidRPr="004B5B10" w14:paraId="098449C1" w14:textId="77777777" w:rsidTr="000300A8">
        <w:trPr>
          <w:cantSplit/>
        </w:trPr>
        <w:tc>
          <w:tcPr>
            <w:tcW w:w="4310" w:type="dxa"/>
            <w:tcBorders>
              <w:top w:val="single" w:sz="4" w:space="0" w:color="auto"/>
              <w:left w:val="single" w:sz="4" w:space="0" w:color="auto"/>
              <w:bottom w:val="single" w:sz="4" w:space="0" w:color="auto"/>
              <w:right w:val="single" w:sz="4" w:space="0" w:color="auto"/>
            </w:tcBorders>
            <w:shd w:val="clear" w:color="auto" w:fill="auto"/>
          </w:tcPr>
          <w:p w14:paraId="3E6EF5C7" w14:textId="77777777" w:rsidR="00B359CB" w:rsidRPr="004B5B10" w:rsidRDefault="00B359CB" w:rsidP="004B5B10">
            <w:pPr>
              <w:spacing w:after="320" w:line="300" w:lineRule="atLeast"/>
              <w:rPr>
                <w:rFonts w:asciiTheme="minorHAnsi" w:hAnsiTheme="minorHAnsi" w:cstheme="minorHAnsi"/>
                <w:b/>
                <w:bCs/>
                <w:sz w:val="26"/>
                <w:szCs w:val="26"/>
              </w:rPr>
            </w:pPr>
            <w:r w:rsidRPr="004B5B10">
              <w:rPr>
                <w:rFonts w:asciiTheme="minorHAnsi" w:hAnsiTheme="minorHAnsi" w:cstheme="minorHAnsi"/>
                <w:b/>
                <w:bCs/>
                <w:sz w:val="26"/>
                <w:szCs w:val="26"/>
              </w:rPr>
              <w:t xml:space="preserve">#22-79  </w:t>
            </w:r>
            <w:r w:rsidRPr="004B5B10">
              <w:rPr>
                <w:rFonts w:asciiTheme="minorHAnsi" w:hAnsiTheme="minorHAnsi" w:cstheme="minorHAnsi"/>
                <w:b/>
                <w:bCs/>
                <w:i/>
                <w:iCs/>
                <w:sz w:val="26"/>
                <w:szCs w:val="26"/>
              </w:rPr>
              <w:t>People v. Felix</w:t>
            </w:r>
            <w:r w:rsidRPr="004B5B10">
              <w:rPr>
                <w:rFonts w:asciiTheme="minorHAnsi" w:hAnsiTheme="minorHAnsi" w:cstheme="minorHAnsi"/>
                <w:b/>
                <w:bCs/>
                <w:sz w:val="26"/>
                <w:szCs w:val="26"/>
              </w:rPr>
              <w:t>, S273283</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41D7A93C" w14:textId="7E000F03" w:rsidR="00B359CB" w:rsidRPr="004B5B10" w:rsidRDefault="00B359CB" w:rsidP="004B5B10">
            <w:pPr>
              <w:spacing w:after="320" w:line="300" w:lineRule="atLeast"/>
              <w:rPr>
                <w:rFonts w:asciiTheme="minorHAnsi" w:hAnsiTheme="minorHAnsi" w:cstheme="minorHAnsi"/>
                <w:sz w:val="26"/>
                <w:szCs w:val="26"/>
              </w:rPr>
            </w:pPr>
            <w:r w:rsidRPr="004B5B10">
              <w:rPr>
                <w:rFonts w:asciiTheme="minorHAnsi" w:hAnsiTheme="minorHAnsi" w:cstheme="minorHAnsi"/>
                <w:sz w:val="26"/>
                <w:szCs w:val="26"/>
              </w:rPr>
              <w:t>(D078931; nonpublished opinion; Riverside County Superior Court; SWF1100211)</w:t>
            </w:r>
          </w:p>
        </w:tc>
      </w:tr>
      <w:tr w:rsidR="00B359CB" w:rsidRPr="004B5B10" w14:paraId="34A59645" w14:textId="77777777" w:rsidTr="000300A8">
        <w:trPr>
          <w:cantSplit/>
        </w:trPr>
        <w:tc>
          <w:tcPr>
            <w:tcW w:w="4310" w:type="dxa"/>
            <w:tcBorders>
              <w:top w:val="single" w:sz="4" w:space="0" w:color="auto"/>
              <w:left w:val="single" w:sz="4" w:space="0" w:color="auto"/>
              <w:bottom w:val="single" w:sz="4" w:space="0" w:color="auto"/>
              <w:right w:val="single" w:sz="4" w:space="0" w:color="auto"/>
            </w:tcBorders>
            <w:shd w:val="clear" w:color="auto" w:fill="auto"/>
          </w:tcPr>
          <w:p w14:paraId="330E1441" w14:textId="77777777" w:rsidR="00B359CB" w:rsidRPr="004B5B10" w:rsidRDefault="00B359CB" w:rsidP="004B5B10">
            <w:pPr>
              <w:spacing w:after="320" w:line="300" w:lineRule="atLeast"/>
              <w:rPr>
                <w:rFonts w:asciiTheme="minorHAnsi" w:hAnsiTheme="minorHAnsi" w:cstheme="minorHAnsi"/>
                <w:b/>
                <w:bCs/>
                <w:sz w:val="26"/>
                <w:szCs w:val="26"/>
              </w:rPr>
            </w:pPr>
            <w:r w:rsidRPr="004B5B10">
              <w:rPr>
                <w:rFonts w:asciiTheme="minorHAnsi" w:hAnsiTheme="minorHAnsi" w:cstheme="minorHAnsi"/>
                <w:b/>
                <w:bCs/>
                <w:sz w:val="26"/>
                <w:szCs w:val="26"/>
              </w:rPr>
              <w:t xml:space="preserve">#22-124  </w:t>
            </w:r>
            <w:r w:rsidRPr="004B5B10">
              <w:rPr>
                <w:rFonts w:asciiTheme="minorHAnsi" w:hAnsiTheme="minorHAnsi" w:cstheme="minorHAnsi"/>
                <w:b/>
                <w:bCs/>
                <w:i/>
                <w:iCs/>
                <w:sz w:val="26"/>
                <w:szCs w:val="26"/>
              </w:rPr>
              <w:t>People v. Garcia</w:t>
            </w:r>
            <w:r w:rsidRPr="004B5B10">
              <w:rPr>
                <w:rFonts w:asciiTheme="minorHAnsi" w:hAnsiTheme="minorHAnsi" w:cstheme="minorHAnsi"/>
                <w:b/>
                <w:bCs/>
                <w:sz w:val="26"/>
                <w:szCs w:val="26"/>
              </w:rPr>
              <w:t>, S273715</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3E2BE2B9" w14:textId="18D53571" w:rsidR="00B359CB" w:rsidRPr="004B5B10" w:rsidRDefault="00B359CB" w:rsidP="004B5B10">
            <w:pPr>
              <w:spacing w:after="320" w:line="300" w:lineRule="atLeast"/>
              <w:rPr>
                <w:rFonts w:asciiTheme="minorHAnsi" w:hAnsiTheme="minorHAnsi" w:cstheme="minorHAnsi"/>
                <w:sz w:val="26"/>
                <w:szCs w:val="26"/>
              </w:rPr>
            </w:pPr>
            <w:r w:rsidRPr="004B5B10">
              <w:rPr>
                <w:rFonts w:asciiTheme="minorHAnsi" w:hAnsiTheme="minorHAnsi" w:cstheme="minorHAnsi"/>
                <w:sz w:val="26"/>
                <w:szCs w:val="26"/>
              </w:rPr>
              <w:t>(B307896; nonpublished opinion; Los Angeles County Superior Court; VA070524)</w:t>
            </w:r>
          </w:p>
        </w:tc>
      </w:tr>
      <w:tr w:rsidR="00B359CB" w:rsidRPr="004B5B10" w14:paraId="12DFBF32" w14:textId="77777777" w:rsidTr="000300A8">
        <w:trPr>
          <w:cantSplit/>
        </w:trPr>
        <w:tc>
          <w:tcPr>
            <w:tcW w:w="4310" w:type="dxa"/>
            <w:tcBorders>
              <w:top w:val="single" w:sz="4" w:space="0" w:color="auto"/>
              <w:left w:val="single" w:sz="4" w:space="0" w:color="auto"/>
              <w:bottom w:val="single" w:sz="4" w:space="0" w:color="auto"/>
              <w:right w:val="single" w:sz="4" w:space="0" w:color="auto"/>
            </w:tcBorders>
            <w:shd w:val="clear" w:color="auto" w:fill="auto"/>
          </w:tcPr>
          <w:p w14:paraId="4F829E58" w14:textId="77777777" w:rsidR="00B359CB" w:rsidRPr="004B5B10" w:rsidRDefault="00B359CB" w:rsidP="004B5B10">
            <w:pPr>
              <w:spacing w:after="320" w:line="300" w:lineRule="atLeast"/>
              <w:rPr>
                <w:rFonts w:asciiTheme="minorHAnsi" w:hAnsiTheme="minorHAnsi" w:cstheme="minorHAnsi"/>
                <w:b/>
                <w:bCs/>
                <w:sz w:val="26"/>
                <w:szCs w:val="26"/>
              </w:rPr>
            </w:pPr>
            <w:r w:rsidRPr="004B5B10">
              <w:rPr>
                <w:rFonts w:asciiTheme="minorHAnsi" w:hAnsiTheme="minorHAnsi" w:cstheme="minorHAnsi"/>
                <w:b/>
                <w:bCs/>
                <w:sz w:val="26"/>
                <w:szCs w:val="26"/>
              </w:rPr>
              <w:t xml:space="preserve">#22-95  </w:t>
            </w:r>
            <w:r w:rsidRPr="004B5B10">
              <w:rPr>
                <w:rFonts w:asciiTheme="minorHAnsi" w:hAnsiTheme="minorHAnsi" w:cstheme="minorHAnsi"/>
                <w:b/>
                <w:bCs/>
                <w:i/>
                <w:iCs/>
                <w:sz w:val="26"/>
                <w:szCs w:val="26"/>
              </w:rPr>
              <w:t>People v. Johnson</w:t>
            </w:r>
            <w:r w:rsidRPr="004B5B10">
              <w:rPr>
                <w:rFonts w:asciiTheme="minorHAnsi" w:hAnsiTheme="minorHAnsi" w:cstheme="minorHAnsi"/>
                <w:b/>
                <w:bCs/>
                <w:sz w:val="26"/>
                <w:szCs w:val="26"/>
              </w:rPr>
              <w:t>, S273513</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61018888" w14:textId="4D8CA2CF" w:rsidR="00B359CB" w:rsidRPr="004B5B10" w:rsidRDefault="00B359CB" w:rsidP="004B5B10">
            <w:pPr>
              <w:spacing w:after="320" w:line="300" w:lineRule="atLeast"/>
              <w:rPr>
                <w:rFonts w:asciiTheme="minorHAnsi" w:hAnsiTheme="minorHAnsi" w:cstheme="minorHAnsi"/>
                <w:sz w:val="26"/>
                <w:szCs w:val="26"/>
              </w:rPr>
            </w:pPr>
            <w:r w:rsidRPr="004B5B10">
              <w:rPr>
                <w:rFonts w:asciiTheme="minorHAnsi" w:hAnsiTheme="minorHAnsi" w:cstheme="minorHAnsi"/>
                <w:sz w:val="26"/>
                <w:szCs w:val="26"/>
              </w:rPr>
              <w:t>(B310328; nonpublished opinion; Los Angeles County Superior Court; MA028813)</w:t>
            </w:r>
          </w:p>
        </w:tc>
      </w:tr>
      <w:tr w:rsidR="00B359CB" w:rsidRPr="004B5B10" w14:paraId="3B327F77" w14:textId="77777777" w:rsidTr="000300A8">
        <w:trPr>
          <w:cantSplit/>
        </w:trPr>
        <w:tc>
          <w:tcPr>
            <w:tcW w:w="4310" w:type="dxa"/>
            <w:tcBorders>
              <w:top w:val="single" w:sz="4" w:space="0" w:color="auto"/>
              <w:left w:val="single" w:sz="4" w:space="0" w:color="auto"/>
              <w:bottom w:val="single" w:sz="4" w:space="0" w:color="auto"/>
              <w:right w:val="single" w:sz="4" w:space="0" w:color="auto"/>
            </w:tcBorders>
            <w:shd w:val="clear" w:color="auto" w:fill="auto"/>
          </w:tcPr>
          <w:p w14:paraId="2CB6A952" w14:textId="77777777" w:rsidR="00B359CB" w:rsidRPr="004B5B10" w:rsidRDefault="00B359CB" w:rsidP="004B5B10">
            <w:pPr>
              <w:spacing w:after="320" w:line="300" w:lineRule="atLeast"/>
              <w:rPr>
                <w:rFonts w:asciiTheme="minorHAnsi" w:hAnsiTheme="minorHAnsi" w:cstheme="minorHAnsi"/>
                <w:b/>
                <w:bCs/>
                <w:sz w:val="26"/>
                <w:szCs w:val="26"/>
              </w:rPr>
            </w:pPr>
            <w:r w:rsidRPr="004B5B10">
              <w:rPr>
                <w:rFonts w:asciiTheme="minorHAnsi" w:hAnsiTheme="minorHAnsi" w:cstheme="minorHAnsi"/>
                <w:b/>
                <w:bCs/>
                <w:sz w:val="26"/>
                <w:szCs w:val="26"/>
              </w:rPr>
              <w:lastRenderedPageBreak/>
              <w:t xml:space="preserve">#22-105  </w:t>
            </w:r>
            <w:r w:rsidRPr="004B5B10">
              <w:rPr>
                <w:rFonts w:asciiTheme="minorHAnsi" w:hAnsiTheme="minorHAnsi" w:cstheme="minorHAnsi"/>
                <w:b/>
                <w:bCs/>
                <w:i/>
                <w:iCs/>
                <w:sz w:val="26"/>
                <w:szCs w:val="26"/>
              </w:rPr>
              <w:t>People v. Ortega</w:t>
            </w:r>
            <w:r w:rsidRPr="004B5B10">
              <w:rPr>
                <w:rFonts w:asciiTheme="minorHAnsi" w:hAnsiTheme="minorHAnsi" w:cstheme="minorHAnsi"/>
                <w:b/>
                <w:bCs/>
                <w:sz w:val="26"/>
                <w:szCs w:val="26"/>
              </w:rPr>
              <w:t>, S273451</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68A858E" w14:textId="18423AF2" w:rsidR="00B359CB" w:rsidRPr="004B5B10" w:rsidRDefault="00B359CB" w:rsidP="004B5B10">
            <w:pPr>
              <w:spacing w:after="320" w:line="300" w:lineRule="atLeast"/>
              <w:rPr>
                <w:rFonts w:asciiTheme="minorHAnsi" w:hAnsiTheme="minorHAnsi" w:cstheme="minorHAnsi"/>
                <w:sz w:val="26"/>
                <w:szCs w:val="26"/>
              </w:rPr>
            </w:pPr>
            <w:r w:rsidRPr="004B5B10">
              <w:rPr>
                <w:rFonts w:asciiTheme="minorHAnsi" w:hAnsiTheme="minorHAnsi" w:cstheme="minorHAnsi"/>
                <w:sz w:val="26"/>
                <w:szCs w:val="26"/>
              </w:rPr>
              <w:t>(B308609; nonpublished opinion; Los Angeles County Superior Court; BA191775)</w:t>
            </w:r>
          </w:p>
        </w:tc>
      </w:tr>
      <w:tr w:rsidR="00B359CB" w:rsidRPr="004B5B10" w14:paraId="7F8A8CE6" w14:textId="77777777" w:rsidTr="000300A8">
        <w:trPr>
          <w:cantSplit/>
        </w:trPr>
        <w:tc>
          <w:tcPr>
            <w:tcW w:w="4310" w:type="dxa"/>
            <w:tcBorders>
              <w:top w:val="single" w:sz="4" w:space="0" w:color="auto"/>
              <w:left w:val="single" w:sz="4" w:space="0" w:color="auto"/>
              <w:bottom w:val="single" w:sz="4" w:space="0" w:color="auto"/>
              <w:right w:val="single" w:sz="4" w:space="0" w:color="auto"/>
            </w:tcBorders>
            <w:shd w:val="clear" w:color="auto" w:fill="auto"/>
          </w:tcPr>
          <w:p w14:paraId="1B50BAD8" w14:textId="77777777" w:rsidR="00B359CB" w:rsidRPr="004B5B10" w:rsidRDefault="00B359CB" w:rsidP="004B5B10">
            <w:pPr>
              <w:spacing w:after="320" w:line="300" w:lineRule="atLeast"/>
              <w:rPr>
                <w:rFonts w:asciiTheme="minorHAnsi" w:hAnsiTheme="minorHAnsi" w:cstheme="minorHAnsi"/>
                <w:b/>
                <w:bCs/>
                <w:sz w:val="26"/>
                <w:szCs w:val="26"/>
              </w:rPr>
            </w:pPr>
            <w:r w:rsidRPr="004B5B10">
              <w:rPr>
                <w:rFonts w:asciiTheme="minorHAnsi" w:hAnsiTheme="minorHAnsi" w:cstheme="minorHAnsi"/>
                <w:b/>
                <w:bCs/>
                <w:sz w:val="26"/>
                <w:szCs w:val="26"/>
              </w:rPr>
              <w:t xml:space="preserve">#22-137  </w:t>
            </w:r>
            <w:r w:rsidRPr="004B5B10">
              <w:rPr>
                <w:rFonts w:asciiTheme="minorHAnsi" w:hAnsiTheme="minorHAnsi" w:cstheme="minorHAnsi"/>
                <w:b/>
                <w:bCs/>
                <w:i/>
                <w:iCs/>
                <w:sz w:val="26"/>
                <w:szCs w:val="26"/>
              </w:rPr>
              <w:t>People v. Rembert</w:t>
            </w:r>
            <w:r w:rsidRPr="004B5B10">
              <w:rPr>
                <w:rFonts w:asciiTheme="minorHAnsi" w:hAnsiTheme="minorHAnsi" w:cstheme="minorHAnsi"/>
                <w:b/>
                <w:bCs/>
                <w:sz w:val="26"/>
                <w:szCs w:val="26"/>
              </w:rPr>
              <w:t xml:space="preserve">, </w:t>
            </w:r>
            <w:r w:rsidRPr="004B5B10">
              <w:rPr>
                <w:rStyle w:val="Title9"/>
                <w:rFonts w:asciiTheme="minorHAnsi" w:hAnsiTheme="minorHAnsi" w:cstheme="minorHAnsi"/>
                <w:b/>
                <w:bCs/>
                <w:sz w:val="26"/>
                <w:szCs w:val="26"/>
              </w:rPr>
              <w:t>S274013</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031CB64E" w14:textId="77E82CEB" w:rsidR="00B359CB" w:rsidRPr="004B5B10" w:rsidRDefault="00B359CB" w:rsidP="004B5B10">
            <w:pPr>
              <w:spacing w:after="320" w:line="300" w:lineRule="atLeast"/>
              <w:rPr>
                <w:rFonts w:asciiTheme="minorHAnsi" w:hAnsiTheme="minorHAnsi" w:cstheme="minorHAnsi"/>
                <w:sz w:val="26"/>
                <w:szCs w:val="26"/>
              </w:rPr>
            </w:pPr>
            <w:r w:rsidRPr="004B5B10">
              <w:rPr>
                <w:rFonts w:asciiTheme="minorHAnsi" w:hAnsiTheme="minorHAnsi" w:cstheme="minorHAnsi"/>
                <w:sz w:val="26"/>
                <w:szCs w:val="26"/>
              </w:rPr>
              <w:t>(</w:t>
            </w:r>
            <w:r w:rsidRPr="004B5B10">
              <w:rPr>
                <w:rStyle w:val="right"/>
                <w:rFonts w:asciiTheme="minorHAnsi" w:hAnsiTheme="minorHAnsi" w:cstheme="minorHAnsi"/>
                <w:sz w:val="26"/>
                <w:szCs w:val="26"/>
              </w:rPr>
              <w:t>G059690</w:t>
            </w:r>
            <w:r w:rsidRPr="004B5B10">
              <w:rPr>
                <w:rFonts w:asciiTheme="minorHAnsi" w:hAnsiTheme="minorHAnsi" w:cstheme="minorHAnsi"/>
                <w:sz w:val="26"/>
                <w:szCs w:val="26"/>
              </w:rPr>
              <w:t>; nonpublished opinion; Orange County Superior Court; C-94692)</w:t>
            </w:r>
          </w:p>
        </w:tc>
      </w:tr>
      <w:tr w:rsidR="00B359CB" w:rsidRPr="004B5B10" w14:paraId="334FFAD8" w14:textId="77777777" w:rsidTr="000300A8">
        <w:tc>
          <w:tcPr>
            <w:tcW w:w="4310" w:type="dxa"/>
            <w:shd w:val="clear" w:color="auto" w:fill="auto"/>
          </w:tcPr>
          <w:p w14:paraId="014C471A" w14:textId="77777777" w:rsidR="00B359CB" w:rsidRPr="004B5B10" w:rsidRDefault="00B359CB" w:rsidP="004B5B10">
            <w:pPr>
              <w:spacing w:after="320" w:line="300" w:lineRule="atLeast"/>
              <w:rPr>
                <w:rFonts w:asciiTheme="minorHAnsi" w:hAnsiTheme="minorHAnsi" w:cstheme="minorHAnsi"/>
                <w:b/>
                <w:bCs/>
                <w:sz w:val="26"/>
                <w:szCs w:val="26"/>
              </w:rPr>
            </w:pPr>
            <w:r w:rsidRPr="004B5B10">
              <w:rPr>
                <w:rFonts w:asciiTheme="minorHAnsi" w:hAnsiTheme="minorHAnsi" w:cstheme="minorHAnsi"/>
                <w:b/>
                <w:bCs/>
                <w:sz w:val="26"/>
                <w:szCs w:val="26"/>
              </w:rPr>
              <w:t xml:space="preserve">#22-97  </w:t>
            </w:r>
            <w:r w:rsidRPr="004B5B10">
              <w:rPr>
                <w:rFonts w:asciiTheme="minorHAnsi" w:hAnsiTheme="minorHAnsi" w:cstheme="minorHAnsi"/>
                <w:b/>
                <w:bCs/>
                <w:i/>
                <w:iCs/>
                <w:sz w:val="26"/>
                <w:szCs w:val="26"/>
              </w:rPr>
              <w:t>People v. Reynolds</w:t>
            </w:r>
            <w:r w:rsidRPr="004B5B10">
              <w:rPr>
                <w:rFonts w:asciiTheme="minorHAnsi" w:hAnsiTheme="minorHAnsi" w:cstheme="minorHAnsi"/>
                <w:b/>
                <w:bCs/>
                <w:sz w:val="26"/>
                <w:szCs w:val="26"/>
              </w:rPr>
              <w:t>, S273529</w:t>
            </w:r>
          </w:p>
        </w:tc>
        <w:tc>
          <w:tcPr>
            <w:tcW w:w="4320" w:type="dxa"/>
            <w:shd w:val="clear" w:color="auto" w:fill="auto"/>
          </w:tcPr>
          <w:p w14:paraId="66505815" w14:textId="053E4416" w:rsidR="00B359CB" w:rsidRPr="004B5B10" w:rsidRDefault="00B359CB" w:rsidP="004B5B10">
            <w:pPr>
              <w:spacing w:after="320" w:line="300" w:lineRule="atLeast"/>
              <w:rPr>
                <w:rFonts w:asciiTheme="minorHAnsi" w:hAnsiTheme="minorHAnsi" w:cstheme="minorHAnsi"/>
                <w:sz w:val="26"/>
                <w:szCs w:val="26"/>
              </w:rPr>
            </w:pPr>
            <w:r w:rsidRPr="004B5B10">
              <w:rPr>
                <w:rFonts w:asciiTheme="minorHAnsi" w:hAnsiTheme="minorHAnsi" w:cstheme="minorHAnsi"/>
                <w:sz w:val="26"/>
                <w:szCs w:val="26"/>
              </w:rPr>
              <w:t>(G059799; nonpublished opinion; Orange County Superior Court; 08NF4115)</w:t>
            </w:r>
          </w:p>
        </w:tc>
      </w:tr>
      <w:tr w:rsidR="00B359CB" w:rsidRPr="004B5B10" w14:paraId="647A3357" w14:textId="77777777" w:rsidTr="000300A8">
        <w:tc>
          <w:tcPr>
            <w:tcW w:w="4310" w:type="dxa"/>
            <w:tcBorders>
              <w:top w:val="single" w:sz="4" w:space="0" w:color="auto"/>
              <w:left w:val="single" w:sz="4" w:space="0" w:color="auto"/>
              <w:bottom w:val="single" w:sz="4" w:space="0" w:color="auto"/>
              <w:right w:val="single" w:sz="4" w:space="0" w:color="auto"/>
            </w:tcBorders>
            <w:shd w:val="clear" w:color="auto" w:fill="auto"/>
          </w:tcPr>
          <w:p w14:paraId="1E56EDEA" w14:textId="77777777" w:rsidR="00B359CB" w:rsidRPr="004B5B10" w:rsidRDefault="00B359CB" w:rsidP="004B5B10">
            <w:pPr>
              <w:spacing w:after="320" w:line="300" w:lineRule="atLeast"/>
              <w:rPr>
                <w:rFonts w:asciiTheme="minorHAnsi" w:hAnsiTheme="minorHAnsi" w:cstheme="minorHAnsi"/>
                <w:b/>
                <w:bCs/>
                <w:sz w:val="26"/>
                <w:szCs w:val="26"/>
              </w:rPr>
            </w:pPr>
            <w:r w:rsidRPr="004B5B10">
              <w:rPr>
                <w:rFonts w:asciiTheme="minorHAnsi" w:hAnsiTheme="minorHAnsi" w:cstheme="minorHAnsi"/>
                <w:b/>
                <w:bCs/>
                <w:sz w:val="26"/>
                <w:szCs w:val="26"/>
              </w:rPr>
              <w:t xml:space="preserve">#22-74  </w:t>
            </w:r>
            <w:r w:rsidRPr="004B5B10">
              <w:rPr>
                <w:rFonts w:asciiTheme="minorHAnsi" w:hAnsiTheme="minorHAnsi" w:cstheme="minorHAnsi"/>
                <w:b/>
                <w:bCs/>
                <w:i/>
                <w:iCs/>
                <w:sz w:val="26"/>
                <w:szCs w:val="26"/>
              </w:rPr>
              <w:t>People v. Rios</w:t>
            </w:r>
            <w:r w:rsidRPr="004B5B10">
              <w:rPr>
                <w:rFonts w:asciiTheme="minorHAnsi" w:hAnsiTheme="minorHAnsi" w:cstheme="minorHAnsi"/>
                <w:b/>
                <w:bCs/>
                <w:sz w:val="26"/>
                <w:szCs w:val="26"/>
              </w:rPr>
              <w:t>, S273138</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07F1DB64" w14:textId="23B45F30" w:rsidR="00B359CB" w:rsidRPr="004B5B10" w:rsidRDefault="00B359CB" w:rsidP="004B5B10">
            <w:pPr>
              <w:spacing w:after="320" w:line="300" w:lineRule="atLeast"/>
              <w:rPr>
                <w:rFonts w:asciiTheme="minorHAnsi" w:hAnsiTheme="minorHAnsi" w:cstheme="minorHAnsi"/>
                <w:sz w:val="26"/>
                <w:szCs w:val="26"/>
              </w:rPr>
            </w:pPr>
            <w:r w:rsidRPr="004B5B10">
              <w:rPr>
                <w:rFonts w:asciiTheme="minorHAnsi" w:hAnsiTheme="minorHAnsi" w:cstheme="minorHAnsi"/>
                <w:sz w:val="26"/>
                <w:szCs w:val="26"/>
              </w:rPr>
              <w:t>(B310532; nonpublished opinion; Los Angeles County Superior Court; BA109070)</w:t>
            </w:r>
          </w:p>
        </w:tc>
      </w:tr>
      <w:tr w:rsidR="00B359CB" w:rsidRPr="004B5B10" w14:paraId="40CF769A" w14:textId="77777777" w:rsidTr="000300A8">
        <w:tc>
          <w:tcPr>
            <w:tcW w:w="4310" w:type="dxa"/>
            <w:tcBorders>
              <w:top w:val="single" w:sz="4" w:space="0" w:color="auto"/>
              <w:left w:val="single" w:sz="4" w:space="0" w:color="auto"/>
              <w:bottom w:val="single" w:sz="4" w:space="0" w:color="auto"/>
              <w:right w:val="single" w:sz="4" w:space="0" w:color="auto"/>
            </w:tcBorders>
            <w:shd w:val="clear" w:color="auto" w:fill="auto"/>
          </w:tcPr>
          <w:p w14:paraId="3F106A4C" w14:textId="77777777" w:rsidR="00B359CB" w:rsidRPr="004B5B10" w:rsidRDefault="00B359CB" w:rsidP="004B5B10">
            <w:pPr>
              <w:spacing w:after="320" w:line="300" w:lineRule="atLeast"/>
              <w:rPr>
                <w:rFonts w:asciiTheme="minorHAnsi" w:hAnsiTheme="minorHAnsi" w:cstheme="minorHAnsi"/>
                <w:b/>
                <w:bCs/>
                <w:sz w:val="26"/>
                <w:szCs w:val="26"/>
              </w:rPr>
            </w:pPr>
            <w:r w:rsidRPr="004B5B10">
              <w:rPr>
                <w:rFonts w:asciiTheme="minorHAnsi" w:hAnsiTheme="minorHAnsi" w:cstheme="minorHAnsi"/>
                <w:b/>
                <w:bCs/>
                <w:sz w:val="26"/>
                <w:szCs w:val="26"/>
              </w:rPr>
              <w:t xml:space="preserve">#22-53  </w:t>
            </w:r>
            <w:r w:rsidRPr="004B5B10">
              <w:rPr>
                <w:rFonts w:asciiTheme="minorHAnsi" w:hAnsiTheme="minorHAnsi" w:cstheme="minorHAnsi"/>
                <w:b/>
                <w:bCs/>
                <w:i/>
                <w:iCs/>
                <w:sz w:val="26"/>
                <w:szCs w:val="26"/>
              </w:rPr>
              <w:t>People v. Sheard</w:t>
            </w:r>
            <w:r w:rsidRPr="004B5B10">
              <w:rPr>
                <w:rFonts w:asciiTheme="minorHAnsi" w:hAnsiTheme="minorHAnsi" w:cstheme="minorHAnsi"/>
                <w:b/>
                <w:bCs/>
                <w:sz w:val="26"/>
                <w:szCs w:val="26"/>
              </w:rPr>
              <w:t>, S272770</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3CAA957" w14:textId="7BC38DFE" w:rsidR="00B359CB" w:rsidRPr="004B5B10" w:rsidRDefault="00B359CB" w:rsidP="004B5B10">
            <w:pPr>
              <w:spacing w:after="320" w:line="300" w:lineRule="atLeast"/>
              <w:rPr>
                <w:rFonts w:asciiTheme="minorHAnsi" w:hAnsiTheme="minorHAnsi" w:cstheme="minorHAnsi"/>
                <w:sz w:val="26"/>
                <w:szCs w:val="26"/>
              </w:rPr>
            </w:pPr>
            <w:r w:rsidRPr="004B5B10">
              <w:rPr>
                <w:rFonts w:asciiTheme="minorHAnsi" w:hAnsiTheme="minorHAnsi" w:cstheme="minorHAnsi"/>
                <w:sz w:val="26"/>
                <w:szCs w:val="26"/>
              </w:rPr>
              <w:t>(B308523; nonpublished opinion; Los Angeles County Superior Court; GA039399)</w:t>
            </w:r>
          </w:p>
        </w:tc>
      </w:tr>
      <w:tr w:rsidR="00B359CB" w:rsidRPr="004B5B10" w14:paraId="76B01CC5" w14:textId="77777777" w:rsidTr="000300A8">
        <w:tc>
          <w:tcPr>
            <w:tcW w:w="4310" w:type="dxa"/>
            <w:tcBorders>
              <w:top w:val="single" w:sz="4" w:space="0" w:color="auto"/>
              <w:left w:val="single" w:sz="4" w:space="0" w:color="auto"/>
              <w:bottom w:val="single" w:sz="4" w:space="0" w:color="auto"/>
              <w:right w:val="single" w:sz="4" w:space="0" w:color="auto"/>
            </w:tcBorders>
            <w:shd w:val="clear" w:color="auto" w:fill="auto"/>
          </w:tcPr>
          <w:p w14:paraId="7205BF7E" w14:textId="77777777" w:rsidR="00B359CB" w:rsidRPr="004B5B10" w:rsidRDefault="00B359CB" w:rsidP="004B5B10">
            <w:pPr>
              <w:spacing w:after="320" w:line="300" w:lineRule="atLeast"/>
              <w:rPr>
                <w:rFonts w:asciiTheme="minorHAnsi" w:hAnsiTheme="minorHAnsi" w:cstheme="minorHAnsi"/>
                <w:b/>
                <w:bCs/>
                <w:sz w:val="26"/>
                <w:szCs w:val="26"/>
              </w:rPr>
            </w:pPr>
            <w:r w:rsidRPr="004B5B10">
              <w:rPr>
                <w:rFonts w:asciiTheme="minorHAnsi" w:hAnsiTheme="minorHAnsi" w:cstheme="minorHAnsi"/>
                <w:b/>
                <w:bCs/>
                <w:sz w:val="26"/>
                <w:szCs w:val="26"/>
              </w:rPr>
              <w:t xml:space="preserve">#22-54  </w:t>
            </w:r>
            <w:r w:rsidRPr="004B5B10">
              <w:rPr>
                <w:rFonts w:asciiTheme="minorHAnsi" w:hAnsiTheme="minorHAnsi" w:cstheme="minorHAnsi"/>
                <w:b/>
                <w:bCs/>
                <w:i/>
                <w:iCs/>
                <w:sz w:val="26"/>
                <w:szCs w:val="26"/>
              </w:rPr>
              <w:t>People v. Talmadge</w:t>
            </w:r>
            <w:r w:rsidRPr="004B5B10">
              <w:rPr>
                <w:rFonts w:asciiTheme="minorHAnsi" w:hAnsiTheme="minorHAnsi" w:cstheme="minorHAnsi"/>
                <w:b/>
                <w:bCs/>
                <w:sz w:val="26"/>
                <w:szCs w:val="26"/>
              </w:rPr>
              <w:t>, S272778</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619044E6" w14:textId="4DC8D4FF" w:rsidR="00B359CB" w:rsidRPr="004B5B10" w:rsidRDefault="00B359CB" w:rsidP="004B5B10">
            <w:pPr>
              <w:spacing w:after="320" w:line="300" w:lineRule="atLeast"/>
              <w:rPr>
                <w:rFonts w:asciiTheme="minorHAnsi" w:hAnsiTheme="minorHAnsi" w:cstheme="minorHAnsi"/>
                <w:sz w:val="26"/>
                <w:szCs w:val="26"/>
              </w:rPr>
            </w:pPr>
            <w:r w:rsidRPr="004B5B10">
              <w:rPr>
                <w:rFonts w:asciiTheme="minorHAnsi" w:hAnsiTheme="minorHAnsi" w:cstheme="minorHAnsi"/>
                <w:sz w:val="26"/>
                <w:szCs w:val="26"/>
              </w:rPr>
              <w:t>(B310726; nonpublished opinion; Los Angeles County Superior Court; GA039399)</w:t>
            </w:r>
          </w:p>
        </w:tc>
      </w:tr>
      <w:tr w:rsidR="00B359CB" w:rsidRPr="004B5B10" w14:paraId="5F1ABD93" w14:textId="77777777" w:rsidTr="000300A8">
        <w:tc>
          <w:tcPr>
            <w:tcW w:w="4310" w:type="dxa"/>
            <w:tcBorders>
              <w:top w:val="single" w:sz="4" w:space="0" w:color="auto"/>
              <w:left w:val="single" w:sz="4" w:space="0" w:color="auto"/>
              <w:bottom w:val="single" w:sz="4" w:space="0" w:color="auto"/>
              <w:right w:val="single" w:sz="4" w:space="0" w:color="auto"/>
            </w:tcBorders>
            <w:shd w:val="clear" w:color="auto" w:fill="auto"/>
          </w:tcPr>
          <w:p w14:paraId="5D4C9D03" w14:textId="77777777" w:rsidR="00B359CB" w:rsidRPr="004B5B10" w:rsidRDefault="00B359CB" w:rsidP="004B5B10">
            <w:pPr>
              <w:spacing w:after="320" w:line="300" w:lineRule="atLeast"/>
              <w:rPr>
                <w:rFonts w:asciiTheme="minorHAnsi" w:hAnsiTheme="minorHAnsi" w:cstheme="minorHAnsi"/>
                <w:b/>
                <w:bCs/>
                <w:sz w:val="26"/>
                <w:szCs w:val="26"/>
              </w:rPr>
            </w:pPr>
            <w:r w:rsidRPr="004B5B10">
              <w:rPr>
                <w:rFonts w:asciiTheme="minorHAnsi" w:hAnsiTheme="minorHAnsi" w:cstheme="minorHAnsi"/>
                <w:b/>
                <w:bCs/>
                <w:sz w:val="26"/>
                <w:szCs w:val="26"/>
              </w:rPr>
              <w:t xml:space="preserve">#22-46  </w:t>
            </w:r>
            <w:r w:rsidRPr="004B5B10">
              <w:rPr>
                <w:rFonts w:asciiTheme="minorHAnsi" w:hAnsiTheme="minorHAnsi" w:cstheme="minorHAnsi"/>
                <w:b/>
                <w:bCs/>
                <w:i/>
                <w:iCs/>
                <w:sz w:val="26"/>
                <w:szCs w:val="26"/>
              </w:rPr>
              <w:t>People v. Vega</w:t>
            </w:r>
            <w:r w:rsidRPr="004B5B10">
              <w:rPr>
                <w:rFonts w:asciiTheme="minorHAnsi" w:hAnsiTheme="minorHAnsi" w:cstheme="minorHAnsi"/>
                <w:b/>
                <w:bCs/>
                <w:sz w:val="26"/>
                <w:szCs w:val="26"/>
              </w:rPr>
              <w:t>, S272701</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5F306836" w14:textId="1726DC80" w:rsidR="00B359CB" w:rsidRPr="004B5B10" w:rsidRDefault="00B359CB" w:rsidP="004B5B10">
            <w:pPr>
              <w:spacing w:after="320" w:line="300" w:lineRule="atLeast"/>
              <w:rPr>
                <w:rFonts w:asciiTheme="minorHAnsi" w:hAnsiTheme="minorHAnsi" w:cstheme="minorHAnsi"/>
                <w:sz w:val="26"/>
                <w:szCs w:val="26"/>
              </w:rPr>
            </w:pPr>
            <w:r w:rsidRPr="004B5B10">
              <w:rPr>
                <w:rFonts w:asciiTheme="minorHAnsi" w:hAnsiTheme="minorHAnsi" w:cstheme="minorHAnsi"/>
                <w:sz w:val="26"/>
                <w:szCs w:val="26"/>
              </w:rPr>
              <w:t>(B308245; nonpublished opinion; Los Angeles County Superior Court; BA314454)</w:t>
            </w:r>
          </w:p>
        </w:tc>
      </w:tr>
    </w:tbl>
    <w:p w14:paraId="46A36A26" w14:textId="77777777" w:rsidR="004B5B10" w:rsidRPr="004B5B10" w:rsidRDefault="004B5B10" w:rsidP="004B5B10">
      <w:pPr>
        <w:pStyle w:val="body"/>
        <w:spacing w:line="300" w:lineRule="atLeast"/>
        <w:ind w:firstLine="0"/>
        <w:rPr>
          <w:rFonts w:asciiTheme="minorHAnsi" w:hAnsiTheme="minorHAnsi" w:cstheme="minorHAnsi"/>
          <w:szCs w:val="26"/>
        </w:rPr>
      </w:pPr>
    </w:p>
    <w:p w14:paraId="1FE7A811" w14:textId="0D6A6B4F" w:rsidR="00B359CB" w:rsidRPr="004B5B10" w:rsidRDefault="00B359CB" w:rsidP="004B5B10">
      <w:pPr>
        <w:pStyle w:val="body"/>
        <w:spacing w:after="320" w:line="300" w:lineRule="atLeast"/>
        <w:ind w:firstLine="0"/>
        <w:rPr>
          <w:rFonts w:asciiTheme="minorHAnsi" w:hAnsiTheme="minorHAnsi" w:cstheme="minorHAnsi"/>
          <w:szCs w:val="26"/>
        </w:rPr>
      </w:pPr>
      <w:r w:rsidRPr="004B5B10">
        <w:rPr>
          <w:rFonts w:asciiTheme="minorHAnsi" w:hAnsiTheme="minorHAnsi" w:cstheme="minorHAnsi"/>
          <w:szCs w:val="26"/>
        </w:rPr>
        <w:t xml:space="preserve">Review in the following case, which was granted and held for </w:t>
      </w:r>
      <w:r w:rsidRPr="004B5B10">
        <w:rPr>
          <w:rFonts w:asciiTheme="minorHAnsi" w:hAnsiTheme="minorHAnsi" w:cstheme="minorHAnsi"/>
          <w:i/>
          <w:iCs/>
          <w:szCs w:val="26"/>
        </w:rPr>
        <w:t>People v. Aguayo</w:t>
      </w:r>
      <w:r w:rsidRPr="004B5B10">
        <w:rPr>
          <w:rFonts w:asciiTheme="minorHAnsi" w:hAnsiTheme="minorHAnsi" w:cstheme="minorHAnsi"/>
          <w:szCs w:val="26"/>
        </w:rPr>
        <w:t xml:space="preserve"> (2022) 13 Cal.5th 974, was dismissed: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359CB" w:rsidRPr="004B5B10" w14:paraId="53720F83" w14:textId="77777777" w:rsidTr="000300A8">
        <w:tc>
          <w:tcPr>
            <w:tcW w:w="4428" w:type="dxa"/>
            <w:tcBorders>
              <w:top w:val="single" w:sz="4" w:space="0" w:color="auto"/>
              <w:left w:val="single" w:sz="4" w:space="0" w:color="auto"/>
              <w:bottom w:val="single" w:sz="4" w:space="0" w:color="auto"/>
              <w:right w:val="single" w:sz="4" w:space="0" w:color="auto"/>
            </w:tcBorders>
            <w:shd w:val="clear" w:color="auto" w:fill="auto"/>
          </w:tcPr>
          <w:p w14:paraId="15274ABA" w14:textId="77777777" w:rsidR="00B359CB" w:rsidRPr="004B5B10" w:rsidRDefault="00B359CB" w:rsidP="004B5B10">
            <w:pPr>
              <w:spacing w:after="320" w:line="300" w:lineRule="atLeast"/>
              <w:rPr>
                <w:rFonts w:asciiTheme="minorHAnsi" w:hAnsiTheme="minorHAnsi" w:cstheme="minorHAnsi"/>
                <w:b/>
                <w:bCs/>
                <w:sz w:val="26"/>
                <w:szCs w:val="26"/>
              </w:rPr>
            </w:pPr>
            <w:r w:rsidRPr="004B5B10">
              <w:rPr>
                <w:rFonts w:asciiTheme="minorHAnsi" w:hAnsiTheme="minorHAnsi" w:cstheme="minorHAnsi"/>
                <w:b/>
                <w:bCs/>
                <w:sz w:val="26"/>
                <w:szCs w:val="26"/>
              </w:rPr>
              <w:t xml:space="preserve">#21-518  </w:t>
            </w:r>
            <w:r w:rsidRPr="004B5B10">
              <w:rPr>
                <w:rFonts w:asciiTheme="minorHAnsi" w:hAnsiTheme="minorHAnsi" w:cstheme="minorHAnsi"/>
                <w:b/>
                <w:bCs/>
                <w:i/>
                <w:iCs/>
                <w:sz w:val="26"/>
                <w:szCs w:val="26"/>
              </w:rPr>
              <w:t>People v. Smith</w:t>
            </w:r>
            <w:r w:rsidRPr="004B5B10">
              <w:rPr>
                <w:rFonts w:asciiTheme="minorHAnsi" w:hAnsiTheme="minorHAnsi" w:cstheme="minorHAnsi"/>
                <w:b/>
                <w:bCs/>
                <w:sz w:val="26"/>
                <w:szCs w:val="26"/>
              </w:rPr>
              <w:t>, S270943</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1F6A7E0A" w14:textId="77777777" w:rsidR="00B359CB" w:rsidRPr="004B5B10" w:rsidRDefault="00B359CB" w:rsidP="004B5B10">
            <w:pPr>
              <w:spacing w:after="320" w:line="300" w:lineRule="atLeast"/>
              <w:rPr>
                <w:rFonts w:asciiTheme="minorHAnsi" w:hAnsiTheme="minorHAnsi" w:cstheme="minorHAnsi"/>
                <w:sz w:val="26"/>
                <w:szCs w:val="26"/>
              </w:rPr>
            </w:pPr>
            <w:r w:rsidRPr="004B5B10">
              <w:rPr>
                <w:rFonts w:asciiTheme="minorHAnsi" w:hAnsiTheme="minorHAnsi" w:cstheme="minorHAnsi"/>
                <w:sz w:val="26"/>
                <w:szCs w:val="26"/>
              </w:rPr>
              <w:t>(A159254; nonpublished opinion; Sonoma County Superior Court; SCR7228701)</w:t>
            </w:r>
          </w:p>
        </w:tc>
      </w:tr>
    </w:tbl>
    <w:p w14:paraId="59C9F22D" w14:textId="77777777" w:rsidR="00B359CB" w:rsidRPr="004B5B10" w:rsidRDefault="00B359CB" w:rsidP="004B5B10">
      <w:pPr>
        <w:spacing w:after="320" w:line="300" w:lineRule="atLeast"/>
        <w:rPr>
          <w:rFonts w:asciiTheme="minorHAnsi" w:hAnsiTheme="minorHAnsi" w:cstheme="minorHAnsi"/>
          <w:sz w:val="26"/>
          <w:szCs w:val="26"/>
        </w:rPr>
      </w:pPr>
    </w:p>
    <w:p w14:paraId="0BA05B3B" w14:textId="00B2A1D4" w:rsidR="00403631" w:rsidRPr="00FF21BA" w:rsidRDefault="00810B3A" w:rsidP="00810B3A">
      <w:pPr>
        <w:pStyle w:val="Disclaimer"/>
        <w:jc w:val="center"/>
        <w:rPr>
          <w:sz w:val="26"/>
          <w:szCs w:val="26"/>
        </w:rPr>
      </w:pPr>
      <w:r w:rsidRPr="00FF21BA">
        <w:rPr>
          <w:sz w:val="26"/>
          <w:szCs w:val="26"/>
        </w:rPr>
        <w:t>###</w:t>
      </w:r>
    </w:p>
    <w:p w14:paraId="0E55E8A8" w14:textId="77777777" w:rsidR="00403631" w:rsidRDefault="00403631" w:rsidP="00B3772E">
      <w:pPr>
        <w:pStyle w:val="Disclaimer"/>
      </w:pPr>
    </w:p>
    <w:p w14:paraId="0912FFFF" w14:textId="21D89EEF" w:rsidR="00B3772E" w:rsidRDefault="00B3772E" w:rsidP="00B3772E">
      <w:pPr>
        <w:pStyle w:val="Disclaimer"/>
      </w:pPr>
      <w:r w:rsidRPr="00EA4AD3">
        <w:t>The Supreme Court of California is the state</w:t>
      </w:r>
      <w:r>
        <w:t>’</w:t>
      </w:r>
      <w:r w:rsidRPr="00EA4AD3">
        <w:t>s highest court and its decisions are binding on all other California state courts. The court</w:t>
      </w:r>
      <w:r>
        <w:t>’</w:t>
      </w:r>
      <w:r w:rsidRPr="00EA4AD3">
        <w:t xml:space="preserve">s primary role is to decide matters of statewide importance </w:t>
      </w:r>
      <w:r>
        <w:t xml:space="preserve">and to </w:t>
      </w:r>
      <w:r w:rsidRPr="00EA4AD3">
        <w:t xml:space="preserve">maintain uniformity in the </w:t>
      </w:r>
      <w:r w:rsidRPr="00EA4AD3">
        <w:lastRenderedPageBreak/>
        <w:t xml:space="preserve">law throughout California </w:t>
      </w:r>
      <w:r>
        <w:t xml:space="preserve">by </w:t>
      </w:r>
      <w:r w:rsidRPr="00EA4AD3">
        <w:t>review</w:t>
      </w:r>
      <w:r>
        <w:t>ing</w:t>
      </w:r>
      <w:r w:rsidRPr="00EA4AD3">
        <w:t xml:space="preserve"> </w:t>
      </w:r>
      <w:r>
        <w:t xml:space="preserve">matters from </w:t>
      </w:r>
      <w:r w:rsidRPr="00EA4AD3">
        <w:t xml:space="preserve">the </w:t>
      </w:r>
      <w:r>
        <w:t xml:space="preserve">six districts of the </w:t>
      </w:r>
      <w:r w:rsidRPr="00EA4AD3">
        <w:t xml:space="preserve">California Courts of Appeal and </w:t>
      </w:r>
      <w:r>
        <w:t xml:space="preserve">the fifty-eight county </w:t>
      </w:r>
      <w:r w:rsidRPr="00EA4AD3">
        <w:t xml:space="preserve">superior courts </w:t>
      </w:r>
      <w:r>
        <w:t>(the trial courts). Among its other duties, the court also decides all capital appeals and related matters and reviews both attorney and judicial disciplinary matters.</w:t>
      </w:r>
    </w:p>
    <w:sectPr w:rsidR="00B3772E" w:rsidSect="00B83746">
      <w:type w:val="continuous"/>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89E15" w14:textId="77777777" w:rsidR="00DE374C" w:rsidRDefault="00DE374C" w:rsidP="005E75C3">
      <w:r>
        <w:separator/>
      </w:r>
    </w:p>
  </w:endnote>
  <w:endnote w:type="continuationSeparator" w:id="0">
    <w:p w14:paraId="321E9516" w14:textId="77777777" w:rsidR="00DE374C" w:rsidRDefault="00DE374C" w:rsidP="005E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8DC5B" w14:textId="77777777" w:rsidR="00DE374C" w:rsidRDefault="00DE374C" w:rsidP="005E75C3">
      <w:r>
        <w:separator/>
      </w:r>
    </w:p>
  </w:footnote>
  <w:footnote w:type="continuationSeparator" w:id="0">
    <w:p w14:paraId="6EDDE06E" w14:textId="77777777" w:rsidR="00DE374C" w:rsidRDefault="00DE374C" w:rsidP="005E7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69C8" w14:textId="0FE5B036" w:rsidR="00A665F9" w:rsidRDefault="00A665F9">
    <w:pPr>
      <w:pStyle w:val="Header"/>
    </w:pPr>
    <w:r>
      <w:t xml:space="preserve">Summary of Cases Accepted and Related Actions </w:t>
    </w:r>
    <w:r w:rsidRPr="004C58E7">
      <w:rPr>
        <w:color w:val="000000" w:themeColor="text1"/>
      </w:rPr>
      <w:t xml:space="preserve">During Week of </w:t>
    </w:r>
    <w:r w:rsidR="00B359CB">
      <w:rPr>
        <w:color w:val="000000" w:themeColor="text1"/>
      </w:rPr>
      <w:t>November 21</w:t>
    </w:r>
    <w:r w:rsidR="0060397F" w:rsidRPr="00472796">
      <w:rPr>
        <w:color w:val="000000" w:themeColor="text1"/>
      </w:rPr>
      <w:t>, 2022</w:t>
    </w:r>
    <w:r>
      <w:tab/>
      <w:t xml:space="preserve">Page </w:t>
    </w:r>
    <w:r w:rsidR="00680D05">
      <w:fldChar w:fldCharType="begin"/>
    </w:r>
    <w:r w:rsidR="005D18D3">
      <w:instrText xml:space="preserve"> PAGE  \* MERGEFORMAT </w:instrText>
    </w:r>
    <w:r w:rsidR="00680D05">
      <w:fldChar w:fldCharType="separate"/>
    </w:r>
    <w:r w:rsidR="001853B6">
      <w:rPr>
        <w:noProof/>
      </w:rPr>
      <w:t>2</w:t>
    </w:r>
    <w:r w:rsidR="00680D05">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7A3A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EC83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114F3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EC65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B0E7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9E80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7C28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7851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ACF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E0AE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940A2E"/>
    <w:multiLevelType w:val="hybridMultilevel"/>
    <w:tmpl w:val="8EE43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FF0DB2"/>
    <w:multiLevelType w:val="hybridMultilevel"/>
    <w:tmpl w:val="0D2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430"/>
    <w:rsid w:val="0000354C"/>
    <w:rsid w:val="00004A38"/>
    <w:rsid w:val="00006A47"/>
    <w:rsid w:val="000130A2"/>
    <w:rsid w:val="0002065C"/>
    <w:rsid w:val="0002361F"/>
    <w:rsid w:val="00026933"/>
    <w:rsid w:val="0002709A"/>
    <w:rsid w:val="000336D6"/>
    <w:rsid w:val="00034622"/>
    <w:rsid w:val="00036713"/>
    <w:rsid w:val="00042263"/>
    <w:rsid w:val="000566B9"/>
    <w:rsid w:val="00057851"/>
    <w:rsid w:val="000612C4"/>
    <w:rsid w:val="0006300F"/>
    <w:rsid w:val="00065C2F"/>
    <w:rsid w:val="000670A3"/>
    <w:rsid w:val="00067418"/>
    <w:rsid w:val="00070532"/>
    <w:rsid w:val="00071E1C"/>
    <w:rsid w:val="00073364"/>
    <w:rsid w:val="000751A7"/>
    <w:rsid w:val="00077789"/>
    <w:rsid w:val="00081CCF"/>
    <w:rsid w:val="000829BE"/>
    <w:rsid w:val="00087F5C"/>
    <w:rsid w:val="00090DDE"/>
    <w:rsid w:val="000958DF"/>
    <w:rsid w:val="000A19E3"/>
    <w:rsid w:val="000A5421"/>
    <w:rsid w:val="000A5BF2"/>
    <w:rsid w:val="000A5E75"/>
    <w:rsid w:val="000A6D26"/>
    <w:rsid w:val="000B25C0"/>
    <w:rsid w:val="000B281E"/>
    <w:rsid w:val="000C1937"/>
    <w:rsid w:val="000C366A"/>
    <w:rsid w:val="000C5945"/>
    <w:rsid w:val="000D09FC"/>
    <w:rsid w:val="000D0D17"/>
    <w:rsid w:val="000D3A62"/>
    <w:rsid w:val="000D5AEB"/>
    <w:rsid w:val="000E0E19"/>
    <w:rsid w:val="000E2DFB"/>
    <w:rsid w:val="000F203F"/>
    <w:rsid w:val="000F2A4C"/>
    <w:rsid w:val="000F5DBA"/>
    <w:rsid w:val="00103741"/>
    <w:rsid w:val="00106137"/>
    <w:rsid w:val="00116BBD"/>
    <w:rsid w:val="00117048"/>
    <w:rsid w:val="0012024E"/>
    <w:rsid w:val="0012095D"/>
    <w:rsid w:val="001216B4"/>
    <w:rsid w:val="0012247D"/>
    <w:rsid w:val="00122D48"/>
    <w:rsid w:val="0012430F"/>
    <w:rsid w:val="001263BD"/>
    <w:rsid w:val="001270AB"/>
    <w:rsid w:val="00131210"/>
    <w:rsid w:val="0013220F"/>
    <w:rsid w:val="001411E5"/>
    <w:rsid w:val="00143DD9"/>
    <w:rsid w:val="001445DD"/>
    <w:rsid w:val="00144DA6"/>
    <w:rsid w:val="0014586C"/>
    <w:rsid w:val="00154970"/>
    <w:rsid w:val="00161868"/>
    <w:rsid w:val="00164CA5"/>
    <w:rsid w:val="00170AD1"/>
    <w:rsid w:val="00171157"/>
    <w:rsid w:val="00181A21"/>
    <w:rsid w:val="001853B6"/>
    <w:rsid w:val="00191C6B"/>
    <w:rsid w:val="001920FC"/>
    <w:rsid w:val="00196206"/>
    <w:rsid w:val="001A14B1"/>
    <w:rsid w:val="001A45DF"/>
    <w:rsid w:val="001B44F7"/>
    <w:rsid w:val="001B6019"/>
    <w:rsid w:val="001B723D"/>
    <w:rsid w:val="001C092C"/>
    <w:rsid w:val="001C1C09"/>
    <w:rsid w:val="001C3D40"/>
    <w:rsid w:val="001C3F2C"/>
    <w:rsid w:val="001C5B64"/>
    <w:rsid w:val="001C6821"/>
    <w:rsid w:val="001C6B93"/>
    <w:rsid w:val="001D1DFD"/>
    <w:rsid w:val="001D45C7"/>
    <w:rsid w:val="001D590C"/>
    <w:rsid w:val="001D69E6"/>
    <w:rsid w:val="001D7532"/>
    <w:rsid w:val="001E4CCB"/>
    <w:rsid w:val="001E524F"/>
    <w:rsid w:val="001F0B8E"/>
    <w:rsid w:val="001F360E"/>
    <w:rsid w:val="001F5FF3"/>
    <w:rsid w:val="00201FE8"/>
    <w:rsid w:val="002048E0"/>
    <w:rsid w:val="00210D61"/>
    <w:rsid w:val="00214861"/>
    <w:rsid w:val="002263F8"/>
    <w:rsid w:val="00232421"/>
    <w:rsid w:val="002417E3"/>
    <w:rsid w:val="002441A0"/>
    <w:rsid w:val="00244FFE"/>
    <w:rsid w:val="00246BDB"/>
    <w:rsid w:val="0025126D"/>
    <w:rsid w:val="00257041"/>
    <w:rsid w:val="0026130B"/>
    <w:rsid w:val="0026681F"/>
    <w:rsid w:val="0027279A"/>
    <w:rsid w:val="00273C7D"/>
    <w:rsid w:val="00277014"/>
    <w:rsid w:val="0027704B"/>
    <w:rsid w:val="0028162D"/>
    <w:rsid w:val="002824AC"/>
    <w:rsid w:val="00284B4E"/>
    <w:rsid w:val="00284CE4"/>
    <w:rsid w:val="0028617A"/>
    <w:rsid w:val="00287F09"/>
    <w:rsid w:val="00297EF2"/>
    <w:rsid w:val="002A17F6"/>
    <w:rsid w:val="002A474A"/>
    <w:rsid w:val="002A4D4D"/>
    <w:rsid w:val="002A5417"/>
    <w:rsid w:val="002B0812"/>
    <w:rsid w:val="002B1A1B"/>
    <w:rsid w:val="002C121C"/>
    <w:rsid w:val="002C199D"/>
    <w:rsid w:val="002C24C4"/>
    <w:rsid w:val="002D2814"/>
    <w:rsid w:val="002D50FA"/>
    <w:rsid w:val="002D5425"/>
    <w:rsid w:val="002E0A70"/>
    <w:rsid w:val="002E1658"/>
    <w:rsid w:val="002E1DD1"/>
    <w:rsid w:val="002E47D2"/>
    <w:rsid w:val="002E74A4"/>
    <w:rsid w:val="002F7F97"/>
    <w:rsid w:val="0030242D"/>
    <w:rsid w:val="003106B6"/>
    <w:rsid w:val="00313067"/>
    <w:rsid w:val="00313310"/>
    <w:rsid w:val="00315DB5"/>
    <w:rsid w:val="00320693"/>
    <w:rsid w:val="00321D9B"/>
    <w:rsid w:val="00324E77"/>
    <w:rsid w:val="003304CC"/>
    <w:rsid w:val="003515CB"/>
    <w:rsid w:val="0035579F"/>
    <w:rsid w:val="00356798"/>
    <w:rsid w:val="00362B02"/>
    <w:rsid w:val="003636F6"/>
    <w:rsid w:val="003645A8"/>
    <w:rsid w:val="003708E3"/>
    <w:rsid w:val="00370A40"/>
    <w:rsid w:val="0037109D"/>
    <w:rsid w:val="00385230"/>
    <w:rsid w:val="00386A54"/>
    <w:rsid w:val="00392038"/>
    <w:rsid w:val="00395996"/>
    <w:rsid w:val="00396A93"/>
    <w:rsid w:val="003A3B27"/>
    <w:rsid w:val="003A3DE6"/>
    <w:rsid w:val="003A3FA7"/>
    <w:rsid w:val="003B5A95"/>
    <w:rsid w:val="003B5EDF"/>
    <w:rsid w:val="003C038A"/>
    <w:rsid w:val="003C0AF6"/>
    <w:rsid w:val="003C2B9E"/>
    <w:rsid w:val="003D5E1A"/>
    <w:rsid w:val="003E2B98"/>
    <w:rsid w:val="003E342B"/>
    <w:rsid w:val="003E4B1A"/>
    <w:rsid w:val="003E57AB"/>
    <w:rsid w:val="003E6863"/>
    <w:rsid w:val="003F7D23"/>
    <w:rsid w:val="00400BA1"/>
    <w:rsid w:val="00403631"/>
    <w:rsid w:val="00404D31"/>
    <w:rsid w:val="004060AD"/>
    <w:rsid w:val="00427A7C"/>
    <w:rsid w:val="00427BAF"/>
    <w:rsid w:val="00427F50"/>
    <w:rsid w:val="00432142"/>
    <w:rsid w:val="0043288A"/>
    <w:rsid w:val="00433162"/>
    <w:rsid w:val="004335E6"/>
    <w:rsid w:val="00433CEE"/>
    <w:rsid w:val="00434E49"/>
    <w:rsid w:val="00435C1C"/>
    <w:rsid w:val="00436DE2"/>
    <w:rsid w:val="00442016"/>
    <w:rsid w:val="004431B6"/>
    <w:rsid w:val="00446CC3"/>
    <w:rsid w:val="0045435A"/>
    <w:rsid w:val="004560B3"/>
    <w:rsid w:val="00465E7F"/>
    <w:rsid w:val="00472796"/>
    <w:rsid w:val="00472CAD"/>
    <w:rsid w:val="004743ED"/>
    <w:rsid w:val="004757BF"/>
    <w:rsid w:val="00477EF0"/>
    <w:rsid w:val="004807B4"/>
    <w:rsid w:val="004826D5"/>
    <w:rsid w:val="004872FD"/>
    <w:rsid w:val="0049373C"/>
    <w:rsid w:val="004954A8"/>
    <w:rsid w:val="004A265F"/>
    <w:rsid w:val="004A6D79"/>
    <w:rsid w:val="004B1D07"/>
    <w:rsid w:val="004B4146"/>
    <w:rsid w:val="004B5B10"/>
    <w:rsid w:val="004B5C50"/>
    <w:rsid w:val="004B6F46"/>
    <w:rsid w:val="004B77EC"/>
    <w:rsid w:val="004C1F97"/>
    <w:rsid w:val="004C270D"/>
    <w:rsid w:val="004C4D0F"/>
    <w:rsid w:val="004C58E7"/>
    <w:rsid w:val="004D074B"/>
    <w:rsid w:val="004D0DCF"/>
    <w:rsid w:val="004D77E3"/>
    <w:rsid w:val="004D7954"/>
    <w:rsid w:val="004E1069"/>
    <w:rsid w:val="004E5996"/>
    <w:rsid w:val="004E7456"/>
    <w:rsid w:val="004F3D75"/>
    <w:rsid w:val="004F6872"/>
    <w:rsid w:val="004F6F48"/>
    <w:rsid w:val="00501AAB"/>
    <w:rsid w:val="00502CF1"/>
    <w:rsid w:val="00504C4E"/>
    <w:rsid w:val="00505939"/>
    <w:rsid w:val="00507357"/>
    <w:rsid w:val="005077EA"/>
    <w:rsid w:val="00512A54"/>
    <w:rsid w:val="005165BF"/>
    <w:rsid w:val="00517839"/>
    <w:rsid w:val="00517CF3"/>
    <w:rsid w:val="00530DD5"/>
    <w:rsid w:val="0053689D"/>
    <w:rsid w:val="005457DC"/>
    <w:rsid w:val="005516C8"/>
    <w:rsid w:val="00555FFC"/>
    <w:rsid w:val="00562FD4"/>
    <w:rsid w:val="005701BC"/>
    <w:rsid w:val="00574592"/>
    <w:rsid w:val="00574E26"/>
    <w:rsid w:val="0057656C"/>
    <w:rsid w:val="005812CF"/>
    <w:rsid w:val="0058553B"/>
    <w:rsid w:val="00585557"/>
    <w:rsid w:val="00590818"/>
    <w:rsid w:val="005909E9"/>
    <w:rsid w:val="00595898"/>
    <w:rsid w:val="00597374"/>
    <w:rsid w:val="0059778D"/>
    <w:rsid w:val="005A16BB"/>
    <w:rsid w:val="005A2498"/>
    <w:rsid w:val="005A32DA"/>
    <w:rsid w:val="005A5131"/>
    <w:rsid w:val="005A73FD"/>
    <w:rsid w:val="005B5DFD"/>
    <w:rsid w:val="005C28F4"/>
    <w:rsid w:val="005C4366"/>
    <w:rsid w:val="005D0172"/>
    <w:rsid w:val="005D18D3"/>
    <w:rsid w:val="005D4F4B"/>
    <w:rsid w:val="005D6509"/>
    <w:rsid w:val="005D66CB"/>
    <w:rsid w:val="005E1F1A"/>
    <w:rsid w:val="005E338A"/>
    <w:rsid w:val="005E6B4F"/>
    <w:rsid w:val="005E75C3"/>
    <w:rsid w:val="005E7CDC"/>
    <w:rsid w:val="005F02B1"/>
    <w:rsid w:val="005F12D5"/>
    <w:rsid w:val="005F38CC"/>
    <w:rsid w:val="005F7FD7"/>
    <w:rsid w:val="00600F1B"/>
    <w:rsid w:val="0060121F"/>
    <w:rsid w:val="0060397F"/>
    <w:rsid w:val="00606DDA"/>
    <w:rsid w:val="00612AD4"/>
    <w:rsid w:val="006170FF"/>
    <w:rsid w:val="00622B54"/>
    <w:rsid w:val="00625AE9"/>
    <w:rsid w:val="00626A61"/>
    <w:rsid w:val="006277CE"/>
    <w:rsid w:val="00640CA4"/>
    <w:rsid w:val="00646567"/>
    <w:rsid w:val="00650664"/>
    <w:rsid w:val="00650D83"/>
    <w:rsid w:val="00662D18"/>
    <w:rsid w:val="00664D4B"/>
    <w:rsid w:val="00670874"/>
    <w:rsid w:val="00672AA5"/>
    <w:rsid w:val="00675402"/>
    <w:rsid w:val="00680B8C"/>
    <w:rsid w:val="00680D05"/>
    <w:rsid w:val="00683104"/>
    <w:rsid w:val="00683E16"/>
    <w:rsid w:val="0068610A"/>
    <w:rsid w:val="006877B3"/>
    <w:rsid w:val="00693257"/>
    <w:rsid w:val="0069402B"/>
    <w:rsid w:val="006956A2"/>
    <w:rsid w:val="0069632B"/>
    <w:rsid w:val="006A390A"/>
    <w:rsid w:val="006A4ADC"/>
    <w:rsid w:val="006C2D7D"/>
    <w:rsid w:val="006C662A"/>
    <w:rsid w:val="006D2200"/>
    <w:rsid w:val="006D2FC6"/>
    <w:rsid w:val="006D7FCD"/>
    <w:rsid w:val="006E3CA5"/>
    <w:rsid w:val="006F046F"/>
    <w:rsid w:val="006F0BE8"/>
    <w:rsid w:val="006F3940"/>
    <w:rsid w:val="006F52EE"/>
    <w:rsid w:val="006F6803"/>
    <w:rsid w:val="00704050"/>
    <w:rsid w:val="007042D8"/>
    <w:rsid w:val="00707419"/>
    <w:rsid w:val="00712D17"/>
    <w:rsid w:val="00717C43"/>
    <w:rsid w:val="00724F25"/>
    <w:rsid w:val="00727F56"/>
    <w:rsid w:val="00730367"/>
    <w:rsid w:val="00734A85"/>
    <w:rsid w:val="007361D8"/>
    <w:rsid w:val="00743868"/>
    <w:rsid w:val="0074585A"/>
    <w:rsid w:val="00751472"/>
    <w:rsid w:val="0075210A"/>
    <w:rsid w:val="00754681"/>
    <w:rsid w:val="0076586A"/>
    <w:rsid w:val="007706C2"/>
    <w:rsid w:val="0077196B"/>
    <w:rsid w:val="00773C27"/>
    <w:rsid w:val="00773FF8"/>
    <w:rsid w:val="00775419"/>
    <w:rsid w:val="00775E30"/>
    <w:rsid w:val="0078084B"/>
    <w:rsid w:val="007811BC"/>
    <w:rsid w:val="007820EC"/>
    <w:rsid w:val="00782AEB"/>
    <w:rsid w:val="00784FB6"/>
    <w:rsid w:val="00786AE3"/>
    <w:rsid w:val="007870C0"/>
    <w:rsid w:val="00793473"/>
    <w:rsid w:val="0079554B"/>
    <w:rsid w:val="0079577F"/>
    <w:rsid w:val="007B1FE0"/>
    <w:rsid w:val="007B2D28"/>
    <w:rsid w:val="007B2DB3"/>
    <w:rsid w:val="007B4DAA"/>
    <w:rsid w:val="007D010D"/>
    <w:rsid w:val="007D224F"/>
    <w:rsid w:val="007D4546"/>
    <w:rsid w:val="007D52CB"/>
    <w:rsid w:val="007E2C27"/>
    <w:rsid w:val="007E5F1A"/>
    <w:rsid w:val="007E727A"/>
    <w:rsid w:val="007F00AF"/>
    <w:rsid w:val="007F020E"/>
    <w:rsid w:val="007F2D0F"/>
    <w:rsid w:val="007F7A69"/>
    <w:rsid w:val="008014C6"/>
    <w:rsid w:val="00802C8D"/>
    <w:rsid w:val="008037A6"/>
    <w:rsid w:val="00804D4F"/>
    <w:rsid w:val="00806157"/>
    <w:rsid w:val="00810B3A"/>
    <w:rsid w:val="00815491"/>
    <w:rsid w:val="00815C7F"/>
    <w:rsid w:val="0082276D"/>
    <w:rsid w:val="00822876"/>
    <w:rsid w:val="008239D4"/>
    <w:rsid w:val="00824AF7"/>
    <w:rsid w:val="008262CD"/>
    <w:rsid w:val="008263A7"/>
    <w:rsid w:val="00831D91"/>
    <w:rsid w:val="008339A6"/>
    <w:rsid w:val="0083513C"/>
    <w:rsid w:val="008352FB"/>
    <w:rsid w:val="008357D8"/>
    <w:rsid w:val="00844588"/>
    <w:rsid w:val="008472CC"/>
    <w:rsid w:val="00852B92"/>
    <w:rsid w:val="008549DE"/>
    <w:rsid w:val="00854AA3"/>
    <w:rsid w:val="008554DA"/>
    <w:rsid w:val="008615C7"/>
    <w:rsid w:val="00864EF5"/>
    <w:rsid w:val="008749FF"/>
    <w:rsid w:val="00874F0B"/>
    <w:rsid w:val="00876E16"/>
    <w:rsid w:val="00881812"/>
    <w:rsid w:val="008921BD"/>
    <w:rsid w:val="008A1E7E"/>
    <w:rsid w:val="008B11E3"/>
    <w:rsid w:val="008B1341"/>
    <w:rsid w:val="008B5552"/>
    <w:rsid w:val="008B6767"/>
    <w:rsid w:val="008B7681"/>
    <w:rsid w:val="008C1CC9"/>
    <w:rsid w:val="008C4E94"/>
    <w:rsid w:val="008C577D"/>
    <w:rsid w:val="008D2E11"/>
    <w:rsid w:val="008D4C0D"/>
    <w:rsid w:val="008E2FB6"/>
    <w:rsid w:val="008E496B"/>
    <w:rsid w:val="008F07EB"/>
    <w:rsid w:val="008F6842"/>
    <w:rsid w:val="008F78EF"/>
    <w:rsid w:val="0090217B"/>
    <w:rsid w:val="00906114"/>
    <w:rsid w:val="00906439"/>
    <w:rsid w:val="00917ACD"/>
    <w:rsid w:val="0092216E"/>
    <w:rsid w:val="0092310C"/>
    <w:rsid w:val="009303FB"/>
    <w:rsid w:val="009305A9"/>
    <w:rsid w:val="009318AF"/>
    <w:rsid w:val="009320C4"/>
    <w:rsid w:val="0093217D"/>
    <w:rsid w:val="00932A85"/>
    <w:rsid w:val="00937C91"/>
    <w:rsid w:val="00943CEF"/>
    <w:rsid w:val="009442BE"/>
    <w:rsid w:val="00952503"/>
    <w:rsid w:val="00954479"/>
    <w:rsid w:val="009571C2"/>
    <w:rsid w:val="00961E07"/>
    <w:rsid w:val="00974375"/>
    <w:rsid w:val="009842F7"/>
    <w:rsid w:val="00995582"/>
    <w:rsid w:val="009A462C"/>
    <w:rsid w:val="009A5AF8"/>
    <w:rsid w:val="009B0E88"/>
    <w:rsid w:val="009B2100"/>
    <w:rsid w:val="009B53B1"/>
    <w:rsid w:val="009B7809"/>
    <w:rsid w:val="009B7863"/>
    <w:rsid w:val="009C1D2C"/>
    <w:rsid w:val="009C3D1C"/>
    <w:rsid w:val="009C40AF"/>
    <w:rsid w:val="009C489E"/>
    <w:rsid w:val="009D0C74"/>
    <w:rsid w:val="009D7838"/>
    <w:rsid w:val="009E4357"/>
    <w:rsid w:val="009F03B1"/>
    <w:rsid w:val="009F42CF"/>
    <w:rsid w:val="00A018D3"/>
    <w:rsid w:val="00A11D10"/>
    <w:rsid w:val="00A153DC"/>
    <w:rsid w:val="00A20B6D"/>
    <w:rsid w:val="00A239BF"/>
    <w:rsid w:val="00A25D1C"/>
    <w:rsid w:val="00A37737"/>
    <w:rsid w:val="00A37CC8"/>
    <w:rsid w:val="00A40520"/>
    <w:rsid w:val="00A44C83"/>
    <w:rsid w:val="00A4733D"/>
    <w:rsid w:val="00A518BF"/>
    <w:rsid w:val="00A51F69"/>
    <w:rsid w:val="00A52DB6"/>
    <w:rsid w:val="00A569E7"/>
    <w:rsid w:val="00A57C2C"/>
    <w:rsid w:val="00A64FA0"/>
    <w:rsid w:val="00A660C4"/>
    <w:rsid w:val="00A665F9"/>
    <w:rsid w:val="00A67E95"/>
    <w:rsid w:val="00A7405D"/>
    <w:rsid w:val="00A75D3E"/>
    <w:rsid w:val="00A76CE1"/>
    <w:rsid w:val="00A771A2"/>
    <w:rsid w:val="00A83AB8"/>
    <w:rsid w:val="00A850DD"/>
    <w:rsid w:val="00A85898"/>
    <w:rsid w:val="00A86DE6"/>
    <w:rsid w:val="00A86E72"/>
    <w:rsid w:val="00A96098"/>
    <w:rsid w:val="00A96251"/>
    <w:rsid w:val="00AA00E8"/>
    <w:rsid w:val="00AA25B1"/>
    <w:rsid w:val="00AA2E4D"/>
    <w:rsid w:val="00AA5AE3"/>
    <w:rsid w:val="00AB0E51"/>
    <w:rsid w:val="00AB1FCB"/>
    <w:rsid w:val="00AB4083"/>
    <w:rsid w:val="00AB5D60"/>
    <w:rsid w:val="00AB5FEE"/>
    <w:rsid w:val="00AB6E49"/>
    <w:rsid w:val="00AC2F80"/>
    <w:rsid w:val="00AD133C"/>
    <w:rsid w:val="00AD1374"/>
    <w:rsid w:val="00AD1454"/>
    <w:rsid w:val="00AD20CD"/>
    <w:rsid w:val="00AD5139"/>
    <w:rsid w:val="00AD5F55"/>
    <w:rsid w:val="00AE041A"/>
    <w:rsid w:val="00AE21E6"/>
    <w:rsid w:val="00AE7294"/>
    <w:rsid w:val="00AF1835"/>
    <w:rsid w:val="00AF4602"/>
    <w:rsid w:val="00AF5541"/>
    <w:rsid w:val="00AF5831"/>
    <w:rsid w:val="00AF6681"/>
    <w:rsid w:val="00B0006A"/>
    <w:rsid w:val="00B027B0"/>
    <w:rsid w:val="00B05AEE"/>
    <w:rsid w:val="00B0718B"/>
    <w:rsid w:val="00B14043"/>
    <w:rsid w:val="00B14320"/>
    <w:rsid w:val="00B143FF"/>
    <w:rsid w:val="00B15838"/>
    <w:rsid w:val="00B228C3"/>
    <w:rsid w:val="00B237B6"/>
    <w:rsid w:val="00B258E4"/>
    <w:rsid w:val="00B27C14"/>
    <w:rsid w:val="00B348EA"/>
    <w:rsid w:val="00B35428"/>
    <w:rsid w:val="00B359CB"/>
    <w:rsid w:val="00B3772E"/>
    <w:rsid w:val="00B37CCB"/>
    <w:rsid w:val="00B42123"/>
    <w:rsid w:val="00B42F68"/>
    <w:rsid w:val="00B52D99"/>
    <w:rsid w:val="00B560A7"/>
    <w:rsid w:val="00B577F5"/>
    <w:rsid w:val="00B66430"/>
    <w:rsid w:val="00B76E53"/>
    <w:rsid w:val="00B82B0B"/>
    <w:rsid w:val="00B82C6B"/>
    <w:rsid w:val="00B83746"/>
    <w:rsid w:val="00B86E08"/>
    <w:rsid w:val="00B878A5"/>
    <w:rsid w:val="00B878BA"/>
    <w:rsid w:val="00B879CA"/>
    <w:rsid w:val="00B93F1C"/>
    <w:rsid w:val="00B97F45"/>
    <w:rsid w:val="00BA04AB"/>
    <w:rsid w:val="00BA702A"/>
    <w:rsid w:val="00BB261D"/>
    <w:rsid w:val="00BB52B0"/>
    <w:rsid w:val="00BC0AB7"/>
    <w:rsid w:val="00BC44CA"/>
    <w:rsid w:val="00BC6988"/>
    <w:rsid w:val="00BD1CD9"/>
    <w:rsid w:val="00BE22A4"/>
    <w:rsid w:val="00BE38C0"/>
    <w:rsid w:val="00BE4E28"/>
    <w:rsid w:val="00BF1BD2"/>
    <w:rsid w:val="00BF2CC3"/>
    <w:rsid w:val="00BF503F"/>
    <w:rsid w:val="00C02CCC"/>
    <w:rsid w:val="00C03425"/>
    <w:rsid w:val="00C039CA"/>
    <w:rsid w:val="00C04387"/>
    <w:rsid w:val="00C05575"/>
    <w:rsid w:val="00C059C8"/>
    <w:rsid w:val="00C0793E"/>
    <w:rsid w:val="00C15106"/>
    <w:rsid w:val="00C23464"/>
    <w:rsid w:val="00C270AE"/>
    <w:rsid w:val="00C3192F"/>
    <w:rsid w:val="00C31D78"/>
    <w:rsid w:val="00C32810"/>
    <w:rsid w:val="00C329E0"/>
    <w:rsid w:val="00C4160A"/>
    <w:rsid w:val="00C416ED"/>
    <w:rsid w:val="00C42165"/>
    <w:rsid w:val="00C46D8E"/>
    <w:rsid w:val="00C545EB"/>
    <w:rsid w:val="00C55111"/>
    <w:rsid w:val="00C60798"/>
    <w:rsid w:val="00C628B6"/>
    <w:rsid w:val="00C73178"/>
    <w:rsid w:val="00C767B0"/>
    <w:rsid w:val="00C81975"/>
    <w:rsid w:val="00C83AD4"/>
    <w:rsid w:val="00C92331"/>
    <w:rsid w:val="00C940FD"/>
    <w:rsid w:val="00C949FC"/>
    <w:rsid w:val="00C95B2F"/>
    <w:rsid w:val="00CA1804"/>
    <w:rsid w:val="00CA353A"/>
    <w:rsid w:val="00CA4C80"/>
    <w:rsid w:val="00CB6B44"/>
    <w:rsid w:val="00CC0790"/>
    <w:rsid w:val="00CD0A96"/>
    <w:rsid w:val="00CD43C6"/>
    <w:rsid w:val="00CE0EBA"/>
    <w:rsid w:val="00CE3775"/>
    <w:rsid w:val="00CE3F92"/>
    <w:rsid w:val="00CE75A3"/>
    <w:rsid w:val="00CE7F37"/>
    <w:rsid w:val="00D0238C"/>
    <w:rsid w:val="00D0259D"/>
    <w:rsid w:val="00D12ABE"/>
    <w:rsid w:val="00D204F8"/>
    <w:rsid w:val="00D22D66"/>
    <w:rsid w:val="00D2567C"/>
    <w:rsid w:val="00D2656F"/>
    <w:rsid w:val="00D4267A"/>
    <w:rsid w:val="00D45BE1"/>
    <w:rsid w:val="00D46FED"/>
    <w:rsid w:val="00D50828"/>
    <w:rsid w:val="00D51398"/>
    <w:rsid w:val="00D5219C"/>
    <w:rsid w:val="00D57FE1"/>
    <w:rsid w:val="00D62480"/>
    <w:rsid w:val="00D63F4D"/>
    <w:rsid w:val="00D65E34"/>
    <w:rsid w:val="00D66E1A"/>
    <w:rsid w:val="00D67151"/>
    <w:rsid w:val="00D73DB6"/>
    <w:rsid w:val="00D77A18"/>
    <w:rsid w:val="00D8148D"/>
    <w:rsid w:val="00D82137"/>
    <w:rsid w:val="00D84ABA"/>
    <w:rsid w:val="00D850F3"/>
    <w:rsid w:val="00D8522B"/>
    <w:rsid w:val="00D8656D"/>
    <w:rsid w:val="00D90961"/>
    <w:rsid w:val="00D914D6"/>
    <w:rsid w:val="00D92335"/>
    <w:rsid w:val="00D92F7B"/>
    <w:rsid w:val="00D93342"/>
    <w:rsid w:val="00D95F9C"/>
    <w:rsid w:val="00DA4C6A"/>
    <w:rsid w:val="00DA510B"/>
    <w:rsid w:val="00DB3645"/>
    <w:rsid w:val="00DC4231"/>
    <w:rsid w:val="00DC6522"/>
    <w:rsid w:val="00DD1CB2"/>
    <w:rsid w:val="00DD2908"/>
    <w:rsid w:val="00DE374C"/>
    <w:rsid w:val="00DE3AD5"/>
    <w:rsid w:val="00DE5C05"/>
    <w:rsid w:val="00DE6D4E"/>
    <w:rsid w:val="00DF1B87"/>
    <w:rsid w:val="00DF4111"/>
    <w:rsid w:val="00DF5BF6"/>
    <w:rsid w:val="00E036D5"/>
    <w:rsid w:val="00E03B29"/>
    <w:rsid w:val="00E04C61"/>
    <w:rsid w:val="00E06579"/>
    <w:rsid w:val="00E07FB3"/>
    <w:rsid w:val="00E11185"/>
    <w:rsid w:val="00E1525B"/>
    <w:rsid w:val="00E21133"/>
    <w:rsid w:val="00E225C3"/>
    <w:rsid w:val="00E31534"/>
    <w:rsid w:val="00E3380A"/>
    <w:rsid w:val="00E420AB"/>
    <w:rsid w:val="00E4609E"/>
    <w:rsid w:val="00E476EB"/>
    <w:rsid w:val="00E47CDE"/>
    <w:rsid w:val="00E57CE2"/>
    <w:rsid w:val="00E60E69"/>
    <w:rsid w:val="00E62D96"/>
    <w:rsid w:val="00E70985"/>
    <w:rsid w:val="00E713C2"/>
    <w:rsid w:val="00E74ABB"/>
    <w:rsid w:val="00E7542A"/>
    <w:rsid w:val="00E81FB4"/>
    <w:rsid w:val="00E84026"/>
    <w:rsid w:val="00E90AD9"/>
    <w:rsid w:val="00E95D15"/>
    <w:rsid w:val="00E96436"/>
    <w:rsid w:val="00EA0984"/>
    <w:rsid w:val="00EA365C"/>
    <w:rsid w:val="00EA4AD3"/>
    <w:rsid w:val="00EA7819"/>
    <w:rsid w:val="00EB1FCA"/>
    <w:rsid w:val="00EB57D7"/>
    <w:rsid w:val="00EB638A"/>
    <w:rsid w:val="00EB739B"/>
    <w:rsid w:val="00EC45E6"/>
    <w:rsid w:val="00EC74DC"/>
    <w:rsid w:val="00EC7A4F"/>
    <w:rsid w:val="00EE4205"/>
    <w:rsid w:val="00EE6EF9"/>
    <w:rsid w:val="00EF1FAE"/>
    <w:rsid w:val="00F012FB"/>
    <w:rsid w:val="00F05299"/>
    <w:rsid w:val="00F06266"/>
    <w:rsid w:val="00F12D22"/>
    <w:rsid w:val="00F13996"/>
    <w:rsid w:val="00F1790B"/>
    <w:rsid w:val="00F17B84"/>
    <w:rsid w:val="00F2211A"/>
    <w:rsid w:val="00F26AFB"/>
    <w:rsid w:val="00F30AFE"/>
    <w:rsid w:val="00F3376E"/>
    <w:rsid w:val="00F36C1C"/>
    <w:rsid w:val="00F36F80"/>
    <w:rsid w:val="00F43088"/>
    <w:rsid w:val="00F442A9"/>
    <w:rsid w:val="00F535FC"/>
    <w:rsid w:val="00F60444"/>
    <w:rsid w:val="00F60A60"/>
    <w:rsid w:val="00F60FBE"/>
    <w:rsid w:val="00F655A6"/>
    <w:rsid w:val="00F702B0"/>
    <w:rsid w:val="00F703DF"/>
    <w:rsid w:val="00F73274"/>
    <w:rsid w:val="00F84AB5"/>
    <w:rsid w:val="00F86885"/>
    <w:rsid w:val="00F90AF5"/>
    <w:rsid w:val="00F92DD8"/>
    <w:rsid w:val="00FA3567"/>
    <w:rsid w:val="00FA43BB"/>
    <w:rsid w:val="00FA6CD9"/>
    <w:rsid w:val="00FA7768"/>
    <w:rsid w:val="00FB533E"/>
    <w:rsid w:val="00FC4AE3"/>
    <w:rsid w:val="00FC6EAE"/>
    <w:rsid w:val="00FC6F6F"/>
    <w:rsid w:val="00FC79AA"/>
    <w:rsid w:val="00FD2596"/>
    <w:rsid w:val="00FD7FEB"/>
    <w:rsid w:val="00FE282E"/>
    <w:rsid w:val="00FE3330"/>
    <w:rsid w:val="00FE3B80"/>
    <w:rsid w:val="00FE5FB9"/>
    <w:rsid w:val="00FE6836"/>
    <w:rsid w:val="00FE6B5F"/>
    <w:rsid w:val="00FE7E3F"/>
    <w:rsid w:val="00FF21BA"/>
    <w:rsid w:val="00FF3572"/>
    <w:rsid w:val="00FF35C9"/>
    <w:rsid w:val="00FF3C73"/>
    <w:rsid w:val="00FF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901C9"/>
  <w15:docId w15:val="{E0D4CE80-70A4-430A-92B9-388BC6EF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C43"/>
    <w:rPr>
      <w:sz w:val="24"/>
    </w:rPr>
  </w:style>
  <w:style w:type="paragraph" w:styleId="Heading1">
    <w:name w:val="heading 1"/>
    <w:basedOn w:val="Normal"/>
    <w:next w:val="Normal"/>
    <w:link w:val="Heading1Char"/>
    <w:uiPriority w:val="9"/>
    <w:rsid w:val="00A86E72"/>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rsid w:val="00A86E72"/>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rsid w:val="00A86E72"/>
    <w:pPr>
      <w:keepNext/>
      <w:spacing w:before="240" w:after="60"/>
      <w:outlineLvl w:val="2"/>
    </w:pPr>
    <w:rPr>
      <w:rFonts w:ascii="Arial" w:hAnsi="Arial"/>
      <w:b/>
      <w:bCs/>
      <w:sz w:val="26"/>
      <w:szCs w:val="26"/>
    </w:rPr>
  </w:style>
  <w:style w:type="paragraph" w:styleId="Heading6">
    <w:name w:val="heading 6"/>
    <w:basedOn w:val="Normal"/>
    <w:next w:val="Normal"/>
    <w:link w:val="Heading6Char"/>
    <w:uiPriority w:val="9"/>
    <w:semiHidden/>
    <w:unhideWhenUsed/>
    <w:qFormat/>
    <w:rsid w:val="00A86E72"/>
    <w:pPr>
      <w:spacing w:before="240" w:after="60"/>
      <w:outlineLvl w:val="5"/>
    </w:pPr>
    <w:rPr>
      <w:b/>
      <w:bCs/>
    </w:rPr>
  </w:style>
  <w:style w:type="paragraph" w:styleId="Heading7">
    <w:name w:val="heading 7"/>
    <w:basedOn w:val="Normal"/>
    <w:next w:val="Normal"/>
    <w:link w:val="Heading7Char"/>
    <w:uiPriority w:val="9"/>
    <w:semiHidden/>
    <w:unhideWhenUsed/>
    <w:qFormat/>
    <w:rsid w:val="00A86E72"/>
    <w:pPr>
      <w:spacing w:before="240" w:after="60"/>
      <w:outlineLvl w:val="6"/>
    </w:pPr>
  </w:style>
  <w:style w:type="paragraph" w:styleId="Heading8">
    <w:name w:val="heading 8"/>
    <w:basedOn w:val="Normal"/>
    <w:next w:val="Normal"/>
    <w:link w:val="Heading8Char"/>
    <w:uiPriority w:val="9"/>
    <w:semiHidden/>
    <w:unhideWhenUsed/>
    <w:qFormat/>
    <w:rsid w:val="00A86E72"/>
    <w:pPr>
      <w:spacing w:before="240" w:after="60"/>
      <w:outlineLvl w:val="7"/>
    </w:pPr>
    <w:rPr>
      <w:i/>
      <w:iCs/>
    </w:rPr>
  </w:style>
  <w:style w:type="paragraph" w:styleId="Heading9">
    <w:name w:val="heading 9"/>
    <w:basedOn w:val="Normal"/>
    <w:next w:val="Normal"/>
    <w:link w:val="Heading9Char"/>
    <w:uiPriority w:val="9"/>
    <w:semiHidden/>
    <w:unhideWhenUsed/>
    <w:qFormat/>
    <w:rsid w:val="00A86E72"/>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E72"/>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A86E72"/>
    <w:rPr>
      <w:rFonts w:ascii="Arial" w:eastAsia="Times New Roman" w:hAnsi="Arial"/>
      <w:b/>
      <w:bCs/>
      <w:i/>
      <w:iCs/>
      <w:sz w:val="28"/>
      <w:szCs w:val="28"/>
    </w:rPr>
  </w:style>
  <w:style w:type="character" w:customStyle="1" w:styleId="Heading3Char">
    <w:name w:val="Heading 3 Char"/>
    <w:basedOn w:val="DefaultParagraphFont"/>
    <w:link w:val="Heading3"/>
    <w:uiPriority w:val="9"/>
    <w:rsid w:val="00A86E72"/>
    <w:rPr>
      <w:rFonts w:ascii="Arial" w:eastAsia="Times New Roman" w:hAnsi="Arial"/>
      <w:b/>
      <w:bCs/>
      <w:sz w:val="26"/>
      <w:szCs w:val="26"/>
    </w:rPr>
  </w:style>
  <w:style w:type="character" w:customStyle="1" w:styleId="Heading6Char">
    <w:name w:val="Heading 6 Char"/>
    <w:basedOn w:val="DefaultParagraphFont"/>
    <w:link w:val="Heading6"/>
    <w:uiPriority w:val="9"/>
    <w:semiHidden/>
    <w:rsid w:val="00A86E72"/>
    <w:rPr>
      <w:b/>
      <w:bCs/>
    </w:rPr>
  </w:style>
  <w:style w:type="character" w:customStyle="1" w:styleId="Heading7Char">
    <w:name w:val="Heading 7 Char"/>
    <w:basedOn w:val="DefaultParagraphFont"/>
    <w:link w:val="Heading7"/>
    <w:uiPriority w:val="9"/>
    <w:semiHidden/>
    <w:rsid w:val="00A86E72"/>
    <w:rPr>
      <w:sz w:val="24"/>
      <w:szCs w:val="24"/>
    </w:rPr>
  </w:style>
  <w:style w:type="character" w:customStyle="1" w:styleId="Heading8Char">
    <w:name w:val="Heading 8 Char"/>
    <w:basedOn w:val="DefaultParagraphFont"/>
    <w:link w:val="Heading8"/>
    <w:uiPriority w:val="9"/>
    <w:semiHidden/>
    <w:rsid w:val="00A86E72"/>
    <w:rPr>
      <w:i/>
      <w:iCs/>
      <w:sz w:val="24"/>
      <w:szCs w:val="24"/>
    </w:rPr>
  </w:style>
  <w:style w:type="character" w:customStyle="1" w:styleId="Heading9Char">
    <w:name w:val="Heading 9 Char"/>
    <w:basedOn w:val="DefaultParagraphFont"/>
    <w:link w:val="Heading9"/>
    <w:uiPriority w:val="9"/>
    <w:semiHidden/>
    <w:rsid w:val="00A86E72"/>
    <w:rPr>
      <w:rFonts w:ascii="Arial" w:eastAsia="Times New Roman" w:hAnsi="Arial"/>
    </w:rPr>
  </w:style>
  <w:style w:type="paragraph" w:styleId="Title">
    <w:name w:val="Title"/>
    <w:basedOn w:val="Normal"/>
    <w:next w:val="Normal"/>
    <w:link w:val="TitleChar"/>
    <w:uiPriority w:val="10"/>
    <w:rsid w:val="00A86E72"/>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A86E72"/>
    <w:rPr>
      <w:rFonts w:ascii="Arial" w:eastAsia="Times New Roman" w:hAnsi="Arial"/>
      <w:b/>
      <w:bCs/>
      <w:kern w:val="28"/>
      <w:sz w:val="32"/>
      <w:szCs w:val="32"/>
    </w:rPr>
  </w:style>
  <w:style w:type="paragraph" w:styleId="Subtitle">
    <w:name w:val="Subtitle"/>
    <w:basedOn w:val="Normal"/>
    <w:next w:val="Normal"/>
    <w:link w:val="SubtitleChar"/>
    <w:uiPriority w:val="11"/>
    <w:rsid w:val="00A86E72"/>
    <w:pPr>
      <w:spacing w:after="60"/>
      <w:jc w:val="center"/>
      <w:outlineLvl w:val="1"/>
    </w:pPr>
    <w:rPr>
      <w:rFonts w:ascii="Arial" w:hAnsi="Arial"/>
    </w:rPr>
  </w:style>
  <w:style w:type="character" w:customStyle="1" w:styleId="SubtitleChar">
    <w:name w:val="Subtitle Char"/>
    <w:basedOn w:val="DefaultParagraphFont"/>
    <w:link w:val="Subtitle"/>
    <w:uiPriority w:val="11"/>
    <w:rsid w:val="00A86E72"/>
    <w:rPr>
      <w:rFonts w:ascii="Arial" w:eastAsia="Times New Roman" w:hAnsi="Arial"/>
      <w:sz w:val="24"/>
      <w:szCs w:val="24"/>
    </w:rPr>
  </w:style>
  <w:style w:type="paragraph" w:styleId="TOCHeading">
    <w:name w:val="TOC Heading"/>
    <w:basedOn w:val="Heading1"/>
    <w:next w:val="Normal"/>
    <w:uiPriority w:val="39"/>
    <w:semiHidden/>
    <w:unhideWhenUsed/>
    <w:qFormat/>
    <w:rsid w:val="00A86E72"/>
    <w:pPr>
      <w:outlineLvl w:val="9"/>
    </w:pPr>
  </w:style>
  <w:style w:type="paragraph" w:customStyle="1" w:styleId="ReleaseHeadline">
    <w:name w:val="Release Headline"/>
    <w:basedOn w:val="Normal"/>
    <w:qFormat/>
    <w:rsid w:val="00E03B29"/>
    <w:pPr>
      <w:shd w:val="solid" w:color="FFFFFF" w:fill="FFFFFF"/>
      <w:spacing w:before="40"/>
      <w:jc w:val="center"/>
    </w:pPr>
    <w:rPr>
      <w:rFonts w:ascii="Georgia" w:hAnsi="Georgia"/>
      <w:b/>
      <w:sz w:val="36"/>
    </w:rPr>
  </w:style>
  <w:style w:type="paragraph" w:customStyle="1" w:styleId="ReleaseBodyText">
    <w:name w:val="Release Body Text"/>
    <w:basedOn w:val="Normal"/>
    <w:qFormat/>
    <w:rsid w:val="003515CB"/>
    <w:pPr>
      <w:spacing w:after="320" w:line="300" w:lineRule="atLeast"/>
    </w:pPr>
  </w:style>
  <w:style w:type="paragraph" w:customStyle="1" w:styleId="Disclaimer">
    <w:name w:val="Disclaimer"/>
    <w:basedOn w:val="Normal"/>
    <w:rsid w:val="003515CB"/>
    <w:pPr>
      <w:autoSpaceDE w:val="0"/>
      <w:autoSpaceDN w:val="0"/>
      <w:adjustRightInd w:val="0"/>
      <w:spacing w:line="240" w:lineRule="atLeast"/>
    </w:pPr>
    <w:rPr>
      <w:i/>
      <w:iCs/>
      <w:color w:val="231F20"/>
      <w:sz w:val="20"/>
    </w:rPr>
  </w:style>
  <w:style w:type="paragraph" w:customStyle="1" w:styleId="ReleaseSubheadline">
    <w:name w:val="Release Subheadline"/>
    <w:basedOn w:val="Normal"/>
    <w:qFormat/>
    <w:rsid w:val="004D074B"/>
    <w:pPr>
      <w:shd w:val="solid" w:color="FFFFFF" w:fill="FFFFFF"/>
      <w:spacing w:before="120" w:after="120" w:line="360" w:lineRule="exact"/>
      <w:jc w:val="center"/>
    </w:pPr>
    <w:rPr>
      <w:rFonts w:ascii="Georgia" w:hAnsi="Georgia"/>
      <w:b/>
      <w:i/>
      <w:sz w:val="28"/>
    </w:rPr>
  </w:style>
  <w:style w:type="paragraph" w:customStyle="1" w:styleId="ReleaseHeading">
    <w:name w:val="Release Heading"/>
    <w:basedOn w:val="ReleaseSubheadline"/>
    <w:qFormat/>
    <w:rsid w:val="0053689D"/>
    <w:pPr>
      <w:spacing w:after="0" w:line="300" w:lineRule="atLeast"/>
      <w:jc w:val="left"/>
    </w:pPr>
    <w:rPr>
      <w:bCs/>
      <w:i w:val="0"/>
      <w:szCs w:val="28"/>
    </w:rPr>
  </w:style>
  <w:style w:type="paragraph" w:styleId="Header">
    <w:name w:val="header"/>
    <w:basedOn w:val="Normal"/>
    <w:link w:val="HeaderChar"/>
    <w:rsid w:val="00717C43"/>
    <w:pPr>
      <w:tabs>
        <w:tab w:val="right" w:pos="9648"/>
      </w:tabs>
      <w:spacing w:after="600"/>
    </w:pPr>
    <w:rPr>
      <w:rFonts w:ascii="Georgia" w:hAnsi="Georgia"/>
      <w:b/>
      <w:sz w:val="18"/>
    </w:rPr>
  </w:style>
  <w:style w:type="character" w:customStyle="1" w:styleId="HeaderChar">
    <w:name w:val="Header Char"/>
    <w:basedOn w:val="DefaultParagraphFont"/>
    <w:link w:val="Header"/>
    <w:rsid w:val="00717C43"/>
    <w:rPr>
      <w:rFonts w:ascii="Georgia" w:eastAsia="Times New Roman" w:hAnsi="Georgia"/>
      <w:b/>
      <w:sz w:val="18"/>
      <w:szCs w:val="20"/>
      <w:lang w:bidi="ar-SA"/>
    </w:rPr>
  </w:style>
  <w:style w:type="paragraph" w:customStyle="1" w:styleId="ReleaseContact">
    <w:name w:val="Release Contact"/>
    <w:basedOn w:val="Normal"/>
    <w:rsid w:val="00B42F68"/>
    <w:pPr>
      <w:tabs>
        <w:tab w:val="left" w:pos="806"/>
      </w:tabs>
    </w:pPr>
    <w:rPr>
      <w:rFonts w:ascii="Franklin Gothic Book" w:hAnsi="Franklin Gothic Book"/>
      <w:sz w:val="20"/>
    </w:rPr>
  </w:style>
  <w:style w:type="paragraph" w:styleId="ListParagraph">
    <w:name w:val="List Paragraph"/>
    <w:basedOn w:val="Normal"/>
    <w:uiPriority w:val="34"/>
    <w:rsid w:val="00A96098"/>
    <w:pPr>
      <w:ind w:left="720"/>
      <w:contextualSpacing/>
    </w:pPr>
  </w:style>
  <w:style w:type="character" w:styleId="Hyperlink">
    <w:name w:val="Hyperlink"/>
    <w:basedOn w:val="DefaultParagraphFont"/>
    <w:uiPriority w:val="99"/>
    <w:unhideWhenUsed/>
    <w:rsid w:val="005E75C3"/>
    <w:rPr>
      <w:color w:val="0000FF"/>
      <w:u w:val="single"/>
    </w:rPr>
  </w:style>
  <w:style w:type="paragraph" w:styleId="Footer">
    <w:name w:val="footer"/>
    <w:basedOn w:val="Normal"/>
    <w:link w:val="FooterChar"/>
    <w:uiPriority w:val="99"/>
    <w:unhideWhenUsed/>
    <w:rsid w:val="005E75C3"/>
    <w:pPr>
      <w:tabs>
        <w:tab w:val="center" w:pos="4680"/>
        <w:tab w:val="right" w:pos="9360"/>
      </w:tabs>
    </w:pPr>
  </w:style>
  <w:style w:type="character" w:customStyle="1" w:styleId="FooterChar">
    <w:name w:val="Footer Char"/>
    <w:basedOn w:val="DefaultParagraphFont"/>
    <w:link w:val="Footer"/>
    <w:uiPriority w:val="99"/>
    <w:rsid w:val="005E75C3"/>
    <w:rPr>
      <w:rFonts w:ascii="Times New Roman" w:eastAsia="Times New Roman" w:hAnsi="Times New Roman"/>
      <w:szCs w:val="20"/>
      <w:lang w:bidi="ar-SA"/>
    </w:rPr>
  </w:style>
  <w:style w:type="paragraph" w:styleId="BalloonText">
    <w:name w:val="Balloon Text"/>
    <w:basedOn w:val="Normal"/>
    <w:link w:val="BalloonTextChar"/>
    <w:uiPriority w:val="99"/>
    <w:semiHidden/>
    <w:unhideWhenUsed/>
    <w:rsid w:val="005E75C3"/>
    <w:rPr>
      <w:rFonts w:ascii="Tahoma" w:hAnsi="Tahoma" w:cs="Tahoma"/>
      <w:sz w:val="16"/>
      <w:szCs w:val="16"/>
    </w:rPr>
  </w:style>
  <w:style w:type="character" w:customStyle="1" w:styleId="BalloonTextChar">
    <w:name w:val="Balloon Text Char"/>
    <w:basedOn w:val="DefaultParagraphFont"/>
    <w:link w:val="BalloonText"/>
    <w:uiPriority w:val="99"/>
    <w:semiHidden/>
    <w:rsid w:val="005E75C3"/>
    <w:rPr>
      <w:rFonts w:ascii="Tahoma" w:eastAsia="Times New Roman" w:hAnsi="Tahoma" w:cs="Tahoma"/>
      <w:sz w:val="16"/>
      <w:szCs w:val="16"/>
      <w:lang w:bidi="ar-SA"/>
    </w:rPr>
  </w:style>
  <w:style w:type="character" w:styleId="Strong">
    <w:name w:val="Strong"/>
    <w:basedOn w:val="DefaultParagraphFont"/>
    <w:uiPriority w:val="22"/>
    <w:qFormat/>
    <w:rsid w:val="005E75C3"/>
    <w:rPr>
      <w:b/>
      <w:bCs/>
    </w:rPr>
  </w:style>
  <w:style w:type="paragraph" w:customStyle="1" w:styleId="ReleaseText">
    <w:name w:val="Release Text"/>
    <w:basedOn w:val="Normal"/>
    <w:rsid w:val="00786AE3"/>
    <w:pPr>
      <w:spacing w:line="320" w:lineRule="atLeast"/>
    </w:pPr>
    <w:rPr>
      <w:sz w:val="26"/>
      <w:szCs w:val="24"/>
    </w:rPr>
  </w:style>
  <w:style w:type="paragraph" w:styleId="PlainText">
    <w:name w:val="Plain Text"/>
    <w:basedOn w:val="Normal"/>
    <w:link w:val="PlainTextChar"/>
    <w:uiPriority w:val="99"/>
    <w:unhideWhenUsed/>
    <w:rsid w:val="008263A7"/>
    <w:rPr>
      <w:rFonts w:ascii="Consolas" w:hAnsi="Consolas"/>
      <w:sz w:val="21"/>
      <w:szCs w:val="21"/>
    </w:rPr>
  </w:style>
  <w:style w:type="character" w:customStyle="1" w:styleId="PlainTextChar">
    <w:name w:val="Plain Text Char"/>
    <w:basedOn w:val="DefaultParagraphFont"/>
    <w:link w:val="PlainText"/>
    <w:uiPriority w:val="99"/>
    <w:rsid w:val="008263A7"/>
    <w:rPr>
      <w:rFonts w:ascii="Consolas" w:hAnsi="Consolas" w:cs="Times New Roman"/>
      <w:sz w:val="21"/>
      <w:szCs w:val="21"/>
      <w:lang w:bidi="ar-SA"/>
    </w:rPr>
  </w:style>
  <w:style w:type="character" w:styleId="CommentReference">
    <w:name w:val="annotation reference"/>
    <w:basedOn w:val="DefaultParagraphFont"/>
    <w:uiPriority w:val="99"/>
    <w:semiHidden/>
    <w:unhideWhenUsed/>
    <w:rsid w:val="00B35428"/>
    <w:rPr>
      <w:sz w:val="16"/>
      <w:szCs w:val="16"/>
    </w:rPr>
  </w:style>
  <w:style w:type="paragraph" w:styleId="CommentText">
    <w:name w:val="annotation text"/>
    <w:basedOn w:val="Normal"/>
    <w:link w:val="CommentTextChar"/>
    <w:uiPriority w:val="99"/>
    <w:semiHidden/>
    <w:unhideWhenUsed/>
    <w:rsid w:val="00B35428"/>
    <w:rPr>
      <w:sz w:val="20"/>
    </w:rPr>
  </w:style>
  <w:style w:type="character" w:customStyle="1" w:styleId="CommentTextChar">
    <w:name w:val="Comment Text Char"/>
    <w:basedOn w:val="DefaultParagraphFont"/>
    <w:link w:val="CommentText"/>
    <w:uiPriority w:val="99"/>
    <w:semiHidden/>
    <w:rsid w:val="00B35428"/>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B35428"/>
    <w:rPr>
      <w:b/>
      <w:bCs/>
    </w:rPr>
  </w:style>
  <w:style w:type="character" w:customStyle="1" w:styleId="CommentSubjectChar">
    <w:name w:val="Comment Subject Char"/>
    <w:basedOn w:val="CommentTextChar"/>
    <w:link w:val="CommentSubject"/>
    <w:uiPriority w:val="99"/>
    <w:semiHidden/>
    <w:rsid w:val="00B35428"/>
    <w:rPr>
      <w:rFonts w:ascii="Times New Roman" w:eastAsia="Times New Roman" w:hAnsi="Times New Roman"/>
      <w:b/>
      <w:bCs/>
      <w:sz w:val="20"/>
      <w:szCs w:val="20"/>
      <w:lang w:bidi="ar-SA"/>
    </w:rPr>
  </w:style>
  <w:style w:type="character" w:styleId="FollowedHyperlink">
    <w:name w:val="FollowedHyperlink"/>
    <w:basedOn w:val="DefaultParagraphFont"/>
    <w:semiHidden/>
    <w:unhideWhenUsed/>
    <w:rsid w:val="00D93342"/>
    <w:rPr>
      <w:color w:val="800080"/>
      <w:u w:val="single"/>
    </w:rPr>
  </w:style>
  <w:style w:type="paragraph" w:customStyle="1" w:styleId="body">
    <w:name w:val="body"/>
    <w:basedOn w:val="Normal"/>
    <w:rsid w:val="00B66430"/>
    <w:pPr>
      <w:tabs>
        <w:tab w:val="left" w:pos="720"/>
        <w:tab w:val="left" w:pos="1440"/>
      </w:tabs>
      <w:spacing w:line="480" w:lineRule="atLeast"/>
      <w:ind w:firstLine="720"/>
    </w:pPr>
    <w:rPr>
      <w:sz w:val="26"/>
    </w:rPr>
  </w:style>
  <w:style w:type="paragraph" w:customStyle="1" w:styleId="banner">
    <w:name w:val="banner"/>
    <w:basedOn w:val="Normal"/>
    <w:next w:val="body"/>
    <w:rsid w:val="00A67E95"/>
    <w:pPr>
      <w:spacing w:line="480" w:lineRule="atLeast"/>
      <w:jc w:val="center"/>
    </w:pPr>
    <w:rPr>
      <w:sz w:val="26"/>
    </w:rPr>
  </w:style>
  <w:style w:type="paragraph" w:customStyle="1" w:styleId="Title1">
    <w:name w:val="Title1"/>
    <w:basedOn w:val="Normal"/>
    <w:rsid w:val="00C04387"/>
    <w:pPr>
      <w:tabs>
        <w:tab w:val="left" w:pos="5760"/>
        <w:tab w:val="left" w:pos="6480"/>
      </w:tabs>
      <w:spacing w:line="240" w:lineRule="atLeast"/>
    </w:pPr>
    <w:rPr>
      <w:sz w:val="26"/>
    </w:rPr>
  </w:style>
  <w:style w:type="paragraph" w:customStyle="1" w:styleId="Text">
    <w:name w:val="Text"/>
    <w:basedOn w:val="Normal"/>
    <w:link w:val="TextChar"/>
    <w:rsid w:val="001F0B8E"/>
    <w:pPr>
      <w:tabs>
        <w:tab w:val="left" w:pos="720"/>
        <w:tab w:val="left" w:pos="1440"/>
        <w:tab w:val="left" w:pos="2160"/>
        <w:tab w:val="center" w:pos="4320"/>
      </w:tabs>
      <w:spacing w:line="480" w:lineRule="atLeast"/>
      <w:ind w:firstLine="540"/>
    </w:pPr>
    <w:rPr>
      <w:sz w:val="26"/>
    </w:rPr>
  </w:style>
  <w:style w:type="character" w:customStyle="1" w:styleId="TextChar">
    <w:name w:val="Text Char"/>
    <w:link w:val="Text"/>
    <w:locked/>
    <w:rsid w:val="00CA4C80"/>
    <w:rPr>
      <w:sz w:val="26"/>
    </w:rPr>
  </w:style>
  <w:style w:type="character" w:customStyle="1" w:styleId="documentbody">
    <w:name w:val="documentbody"/>
    <w:basedOn w:val="DefaultParagraphFont"/>
    <w:rsid w:val="00844588"/>
  </w:style>
  <w:style w:type="character" w:styleId="UnresolvedMention">
    <w:name w:val="Unresolved Mention"/>
    <w:basedOn w:val="DefaultParagraphFont"/>
    <w:uiPriority w:val="99"/>
    <w:semiHidden/>
    <w:unhideWhenUsed/>
    <w:rsid w:val="00A83AB8"/>
    <w:rPr>
      <w:color w:val="605E5C"/>
      <w:shd w:val="clear" w:color="auto" w:fill="E1DFDD"/>
    </w:rPr>
  </w:style>
  <w:style w:type="character" w:customStyle="1" w:styleId="right">
    <w:name w:val="right"/>
    <w:basedOn w:val="DefaultParagraphFont"/>
    <w:rsid w:val="00313310"/>
  </w:style>
  <w:style w:type="character" w:customStyle="1" w:styleId="Title11">
    <w:name w:val="Title11"/>
    <w:basedOn w:val="DefaultParagraphFont"/>
    <w:rsid w:val="00313310"/>
  </w:style>
  <w:style w:type="character" w:customStyle="1" w:styleId="Title12">
    <w:name w:val="Title12"/>
    <w:basedOn w:val="DefaultParagraphFont"/>
    <w:rsid w:val="00313310"/>
  </w:style>
  <w:style w:type="character" w:customStyle="1" w:styleId="Title13">
    <w:name w:val="Title13"/>
    <w:basedOn w:val="DefaultParagraphFont"/>
    <w:rsid w:val="001F5FF3"/>
  </w:style>
  <w:style w:type="character" w:customStyle="1" w:styleId="Title15">
    <w:name w:val="Title15"/>
    <w:basedOn w:val="DefaultParagraphFont"/>
    <w:rsid w:val="0077196B"/>
  </w:style>
  <w:style w:type="character" w:customStyle="1" w:styleId="Title18">
    <w:name w:val="Title18"/>
    <w:basedOn w:val="DefaultParagraphFont"/>
    <w:rsid w:val="007F020E"/>
  </w:style>
  <w:style w:type="character" w:customStyle="1" w:styleId="Title19">
    <w:name w:val="Title19"/>
    <w:basedOn w:val="DefaultParagraphFont"/>
    <w:rsid w:val="007F020E"/>
  </w:style>
  <w:style w:type="character" w:customStyle="1" w:styleId="Title20">
    <w:name w:val="Title20"/>
    <w:basedOn w:val="DefaultParagraphFont"/>
    <w:rsid w:val="007F020E"/>
  </w:style>
  <w:style w:type="character" w:customStyle="1" w:styleId="Title21">
    <w:name w:val="Title21"/>
    <w:basedOn w:val="DefaultParagraphFont"/>
    <w:rsid w:val="00C059C8"/>
  </w:style>
  <w:style w:type="character" w:customStyle="1" w:styleId="Title23">
    <w:name w:val="Title23"/>
    <w:basedOn w:val="DefaultParagraphFont"/>
    <w:rsid w:val="00802C8D"/>
  </w:style>
  <w:style w:type="character" w:customStyle="1" w:styleId="Title24">
    <w:name w:val="Title24"/>
    <w:basedOn w:val="DefaultParagraphFont"/>
    <w:rsid w:val="00B577F5"/>
  </w:style>
  <w:style w:type="character" w:customStyle="1" w:styleId="Title25">
    <w:name w:val="Title25"/>
    <w:basedOn w:val="DefaultParagraphFont"/>
    <w:rsid w:val="00FC79AA"/>
  </w:style>
  <w:style w:type="character" w:customStyle="1" w:styleId="Title22">
    <w:name w:val="Title22"/>
    <w:basedOn w:val="DefaultParagraphFont"/>
    <w:rsid w:val="00FF21BA"/>
  </w:style>
  <w:style w:type="character" w:customStyle="1" w:styleId="Title17">
    <w:name w:val="Title17"/>
    <w:basedOn w:val="DefaultParagraphFont"/>
    <w:rsid w:val="00FF21BA"/>
  </w:style>
  <w:style w:type="character" w:customStyle="1" w:styleId="Title9">
    <w:name w:val="Title9"/>
    <w:basedOn w:val="DefaultParagraphFont"/>
    <w:rsid w:val="00B359CB"/>
  </w:style>
  <w:style w:type="character" w:customStyle="1" w:styleId="Title28">
    <w:name w:val="Title28"/>
    <w:basedOn w:val="DefaultParagraphFont"/>
    <w:rsid w:val="00B359CB"/>
  </w:style>
  <w:style w:type="character" w:customStyle="1" w:styleId="Title10">
    <w:name w:val="Title10"/>
    <w:basedOn w:val="DefaultParagraphFont"/>
    <w:rsid w:val="00B3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2085">
      <w:bodyDiv w:val="1"/>
      <w:marLeft w:val="0"/>
      <w:marRight w:val="0"/>
      <w:marTop w:val="0"/>
      <w:marBottom w:val="0"/>
      <w:divBdr>
        <w:top w:val="none" w:sz="0" w:space="0" w:color="auto"/>
        <w:left w:val="none" w:sz="0" w:space="0" w:color="auto"/>
        <w:bottom w:val="none" w:sz="0" w:space="0" w:color="auto"/>
        <w:right w:val="none" w:sz="0" w:space="0" w:color="auto"/>
      </w:divBdr>
    </w:div>
    <w:div w:id="73667860">
      <w:bodyDiv w:val="1"/>
      <w:marLeft w:val="0"/>
      <w:marRight w:val="0"/>
      <w:marTop w:val="0"/>
      <w:marBottom w:val="0"/>
      <w:divBdr>
        <w:top w:val="none" w:sz="0" w:space="0" w:color="auto"/>
        <w:left w:val="none" w:sz="0" w:space="0" w:color="auto"/>
        <w:bottom w:val="none" w:sz="0" w:space="0" w:color="auto"/>
        <w:right w:val="none" w:sz="0" w:space="0" w:color="auto"/>
      </w:divBdr>
    </w:div>
    <w:div w:id="184633271">
      <w:bodyDiv w:val="1"/>
      <w:marLeft w:val="0"/>
      <w:marRight w:val="0"/>
      <w:marTop w:val="0"/>
      <w:marBottom w:val="0"/>
      <w:divBdr>
        <w:top w:val="none" w:sz="0" w:space="0" w:color="auto"/>
        <w:left w:val="none" w:sz="0" w:space="0" w:color="auto"/>
        <w:bottom w:val="none" w:sz="0" w:space="0" w:color="auto"/>
        <w:right w:val="none" w:sz="0" w:space="0" w:color="auto"/>
      </w:divBdr>
    </w:div>
    <w:div w:id="228226759">
      <w:bodyDiv w:val="1"/>
      <w:marLeft w:val="0"/>
      <w:marRight w:val="0"/>
      <w:marTop w:val="0"/>
      <w:marBottom w:val="0"/>
      <w:divBdr>
        <w:top w:val="none" w:sz="0" w:space="0" w:color="auto"/>
        <w:left w:val="none" w:sz="0" w:space="0" w:color="auto"/>
        <w:bottom w:val="none" w:sz="0" w:space="0" w:color="auto"/>
        <w:right w:val="none" w:sz="0" w:space="0" w:color="auto"/>
      </w:divBdr>
    </w:div>
    <w:div w:id="288630469">
      <w:bodyDiv w:val="1"/>
      <w:marLeft w:val="0"/>
      <w:marRight w:val="0"/>
      <w:marTop w:val="0"/>
      <w:marBottom w:val="0"/>
      <w:divBdr>
        <w:top w:val="none" w:sz="0" w:space="0" w:color="auto"/>
        <w:left w:val="none" w:sz="0" w:space="0" w:color="auto"/>
        <w:bottom w:val="none" w:sz="0" w:space="0" w:color="auto"/>
        <w:right w:val="none" w:sz="0" w:space="0" w:color="auto"/>
      </w:divBdr>
    </w:div>
    <w:div w:id="745419264">
      <w:bodyDiv w:val="1"/>
      <w:marLeft w:val="0"/>
      <w:marRight w:val="0"/>
      <w:marTop w:val="0"/>
      <w:marBottom w:val="0"/>
      <w:divBdr>
        <w:top w:val="none" w:sz="0" w:space="0" w:color="auto"/>
        <w:left w:val="none" w:sz="0" w:space="0" w:color="auto"/>
        <w:bottom w:val="none" w:sz="0" w:space="0" w:color="auto"/>
        <w:right w:val="none" w:sz="0" w:space="0" w:color="auto"/>
      </w:divBdr>
    </w:div>
    <w:div w:id="977420750">
      <w:bodyDiv w:val="1"/>
      <w:marLeft w:val="0"/>
      <w:marRight w:val="0"/>
      <w:marTop w:val="0"/>
      <w:marBottom w:val="0"/>
      <w:divBdr>
        <w:top w:val="none" w:sz="0" w:space="0" w:color="auto"/>
        <w:left w:val="none" w:sz="0" w:space="0" w:color="auto"/>
        <w:bottom w:val="none" w:sz="0" w:space="0" w:color="auto"/>
        <w:right w:val="none" w:sz="0" w:space="0" w:color="auto"/>
      </w:divBdr>
    </w:div>
    <w:div w:id="1170170260">
      <w:bodyDiv w:val="1"/>
      <w:marLeft w:val="0"/>
      <w:marRight w:val="0"/>
      <w:marTop w:val="0"/>
      <w:marBottom w:val="0"/>
      <w:divBdr>
        <w:top w:val="none" w:sz="0" w:space="0" w:color="auto"/>
        <w:left w:val="none" w:sz="0" w:space="0" w:color="auto"/>
        <w:bottom w:val="none" w:sz="0" w:space="0" w:color="auto"/>
        <w:right w:val="none" w:sz="0" w:space="0" w:color="auto"/>
      </w:divBdr>
    </w:div>
    <w:div w:id="1234583112">
      <w:bodyDiv w:val="1"/>
      <w:marLeft w:val="0"/>
      <w:marRight w:val="0"/>
      <w:marTop w:val="0"/>
      <w:marBottom w:val="0"/>
      <w:divBdr>
        <w:top w:val="none" w:sz="0" w:space="0" w:color="auto"/>
        <w:left w:val="none" w:sz="0" w:space="0" w:color="auto"/>
        <w:bottom w:val="none" w:sz="0" w:space="0" w:color="auto"/>
        <w:right w:val="none" w:sz="0" w:space="0" w:color="auto"/>
      </w:divBdr>
      <w:divsChild>
        <w:div w:id="1160148125">
          <w:marLeft w:val="0"/>
          <w:marRight w:val="0"/>
          <w:marTop w:val="0"/>
          <w:marBottom w:val="0"/>
          <w:divBdr>
            <w:top w:val="none" w:sz="0" w:space="0" w:color="auto"/>
            <w:left w:val="none" w:sz="0" w:space="0" w:color="auto"/>
            <w:bottom w:val="none" w:sz="0" w:space="0" w:color="auto"/>
            <w:right w:val="none" w:sz="0" w:space="0" w:color="auto"/>
          </w:divBdr>
          <w:divsChild>
            <w:div w:id="388305936">
              <w:marLeft w:val="0"/>
              <w:marRight w:val="0"/>
              <w:marTop w:val="0"/>
              <w:marBottom w:val="0"/>
              <w:divBdr>
                <w:top w:val="none" w:sz="0" w:space="0" w:color="auto"/>
                <w:left w:val="none" w:sz="0" w:space="0" w:color="auto"/>
                <w:bottom w:val="none" w:sz="0" w:space="0" w:color="auto"/>
                <w:right w:val="none" w:sz="0" w:space="0" w:color="auto"/>
              </w:divBdr>
              <w:divsChild>
                <w:div w:id="2112120476">
                  <w:marLeft w:val="0"/>
                  <w:marRight w:val="330"/>
                  <w:marTop w:val="0"/>
                  <w:marBottom w:val="0"/>
                  <w:divBdr>
                    <w:top w:val="none" w:sz="0" w:space="0" w:color="auto"/>
                    <w:left w:val="none" w:sz="0" w:space="0" w:color="auto"/>
                    <w:bottom w:val="none" w:sz="0" w:space="0" w:color="auto"/>
                    <w:right w:val="none" w:sz="0" w:space="0" w:color="auto"/>
                  </w:divBdr>
                  <w:divsChild>
                    <w:div w:id="1277907934">
                      <w:marLeft w:val="0"/>
                      <w:marRight w:val="0"/>
                      <w:marTop w:val="0"/>
                      <w:marBottom w:val="0"/>
                      <w:divBdr>
                        <w:top w:val="none" w:sz="0" w:space="0" w:color="auto"/>
                        <w:left w:val="none" w:sz="0" w:space="0" w:color="auto"/>
                        <w:bottom w:val="none" w:sz="0" w:space="0" w:color="auto"/>
                        <w:right w:val="none" w:sz="0" w:space="0" w:color="auto"/>
                      </w:divBdr>
                      <w:divsChild>
                        <w:div w:id="498886415">
                          <w:marLeft w:val="0"/>
                          <w:marRight w:val="0"/>
                          <w:marTop w:val="0"/>
                          <w:marBottom w:val="0"/>
                          <w:divBdr>
                            <w:top w:val="none" w:sz="0" w:space="0" w:color="auto"/>
                            <w:left w:val="none" w:sz="0" w:space="0" w:color="auto"/>
                            <w:bottom w:val="none" w:sz="0" w:space="0" w:color="auto"/>
                            <w:right w:val="none" w:sz="0" w:space="0" w:color="auto"/>
                          </w:divBdr>
                          <w:divsChild>
                            <w:div w:id="740295641">
                              <w:marLeft w:val="0"/>
                              <w:marRight w:val="0"/>
                              <w:marTop w:val="0"/>
                              <w:marBottom w:val="0"/>
                              <w:divBdr>
                                <w:top w:val="none" w:sz="0" w:space="0" w:color="auto"/>
                                <w:left w:val="none" w:sz="0" w:space="0" w:color="auto"/>
                                <w:bottom w:val="none" w:sz="0" w:space="0" w:color="auto"/>
                                <w:right w:val="none" w:sz="0" w:space="0" w:color="auto"/>
                              </w:divBdr>
                              <w:divsChild>
                                <w:div w:id="951477046">
                                  <w:marLeft w:val="0"/>
                                  <w:marRight w:val="0"/>
                                  <w:marTop w:val="0"/>
                                  <w:marBottom w:val="0"/>
                                  <w:divBdr>
                                    <w:top w:val="none" w:sz="0" w:space="0" w:color="auto"/>
                                    <w:left w:val="none" w:sz="0" w:space="0" w:color="auto"/>
                                    <w:bottom w:val="none" w:sz="0" w:space="0" w:color="auto"/>
                                    <w:right w:val="none" w:sz="0" w:space="0" w:color="auto"/>
                                  </w:divBdr>
                                  <w:divsChild>
                                    <w:div w:id="960109318">
                                      <w:marLeft w:val="0"/>
                                      <w:marRight w:val="0"/>
                                      <w:marTop w:val="0"/>
                                      <w:marBottom w:val="0"/>
                                      <w:divBdr>
                                        <w:top w:val="none" w:sz="0" w:space="0" w:color="auto"/>
                                        <w:left w:val="none" w:sz="0" w:space="0" w:color="auto"/>
                                        <w:bottom w:val="none" w:sz="0" w:space="0" w:color="auto"/>
                                        <w:right w:val="none" w:sz="0" w:space="0" w:color="auto"/>
                                      </w:divBdr>
                                      <w:divsChild>
                                        <w:div w:id="648629031">
                                          <w:marLeft w:val="0"/>
                                          <w:marRight w:val="0"/>
                                          <w:marTop w:val="0"/>
                                          <w:marBottom w:val="0"/>
                                          <w:divBdr>
                                            <w:top w:val="none" w:sz="0" w:space="0" w:color="auto"/>
                                            <w:left w:val="none" w:sz="0" w:space="0" w:color="auto"/>
                                            <w:bottom w:val="none" w:sz="0" w:space="0" w:color="auto"/>
                                            <w:right w:val="none" w:sz="0" w:space="0" w:color="auto"/>
                                          </w:divBdr>
                                          <w:divsChild>
                                            <w:div w:id="1611162562">
                                              <w:marLeft w:val="0"/>
                                              <w:marRight w:val="0"/>
                                              <w:marTop w:val="0"/>
                                              <w:marBottom w:val="0"/>
                                              <w:divBdr>
                                                <w:top w:val="none" w:sz="0" w:space="0" w:color="auto"/>
                                                <w:left w:val="none" w:sz="0" w:space="0" w:color="auto"/>
                                                <w:bottom w:val="none" w:sz="0" w:space="0" w:color="auto"/>
                                                <w:right w:val="none" w:sz="0" w:space="0" w:color="auto"/>
                                              </w:divBdr>
                                              <w:divsChild>
                                                <w:div w:id="14177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9342960">
      <w:bodyDiv w:val="1"/>
      <w:marLeft w:val="0"/>
      <w:marRight w:val="0"/>
      <w:marTop w:val="0"/>
      <w:marBottom w:val="0"/>
      <w:divBdr>
        <w:top w:val="none" w:sz="0" w:space="0" w:color="auto"/>
        <w:left w:val="none" w:sz="0" w:space="0" w:color="auto"/>
        <w:bottom w:val="none" w:sz="0" w:space="0" w:color="auto"/>
        <w:right w:val="none" w:sz="0" w:space="0" w:color="auto"/>
      </w:divBdr>
    </w:div>
    <w:div w:id="1349714821">
      <w:bodyDiv w:val="1"/>
      <w:marLeft w:val="0"/>
      <w:marRight w:val="0"/>
      <w:marTop w:val="0"/>
      <w:marBottom w:val="0"/>
      <w:divBdr>
        <w:top w:val="none" w:sz="0" w:space="0" w:color="auto"/>
        <w:left w:val="none" w:sz="0" w:space="0" w:color="auto"/>
        <w:bottom w:val="none" w:sz="0" w:space="0" w:color="auto"/>
        <w:right w:val="none" w:sz="0" w:space="0" w:color="auto"/>
      </w:divBdr>
    </w:div>
    <w:div w:id="1481926875">
      <w:bodyDiv w:val="1"/>
      <w:marLeft w:val="0"/>
      <w:marRight w:val="0"/>
      <w:marTop w:val="0"/>
      <w:marBottom w:val="0"/>
      <w:divBdr>
        <w:top w:val="none" w:sz="0" w:space="0" w:color="auto"/>
        <w:left w:val="none" w:sz="0" w:space="0" w:color="auto"/>
        <w:bottom w:val="none" w:sz="0" w:space="0" w:color="auto"/>
        <w:right w:val="none" w:sz="0" w:space="0" w:color="auto"/>
      </w:divBdr>
    </w:div>
    <w:div w:id="1880627549">
      <w:bodyDiv w:val="1"/>
      <w:marLeft w:val="0"/>
      <w:marRight w:val="0"/>
      <w:marTop w:val="0"/>
      <w:marBottom w:val="0"/>
      <w:divBdr>
        <w:top w:val="none" w:sz="0" w:space="0" w:color="auto"/>
        <w:left w:val="none" w:sz="0" w:space="0" w:color="auto"/>
        <w:bottom w:val="none" w:sz="0" w:space="0" w:color="auto"/>
        <w:right w:val="none" w:sz="0" w:space="0" w:color="auto"/>
      </w:divBdr>
    </w:div>
    <w:div w:id="1886286827">
      <w:bodyDiv w:val="1"/>
      <w:marLeft w:val="0"/>
      <w:marRight w:val="0"/>
      <w:marTop w:val="0"/>
      <w:marBottom w:val="0"/>
      <w:divBdr>
        <w:top w:val="none" w:sz="0" w:space="0" w:color="auto"/>
        <w:left w:val="none" w:sz="0" w:space="0" w:color="auto"/>
        <w:bottom w:val="none" w:sz="0" w:space="0" w:color="auto"/>
        <w:right w:val="none" w:sz="0" w:space="0" w:color="auto"/>
      </w:divBdr>
    </w:div>
    <w:div w:id="1906529437">
      <w:bodyDiv w:val="1"/>
      <w:marLeft w:val="0"/>
      <w:marRight w:val="0"/>
      <w:marTop w:val="0"/>
      <w:marBottom w:val="0"/>
      <w:divBdr>
        <w:top w:val="none" w:sz="0" w:space="0" w:color="auto"/>
        <w:left w:val="none" w:sz="0" w:space="0" w:color="auto"/>
        <w:bottom w:val="none" w:sz="0" w:space="0" w:color="auto"/>
        <w:right w:val="none" w:sz="0" w:space="0" w:color="auto"/>
      </w:divBdr>
    </w:div>
    <w:div w:id="1907568112">
      <w:bodyDiv w:val="1"/>
      <w:marLeft w:val="0"/>
      <w:marRight w:val="0"/>
      <w:marTop w:val="0"/>
      <w:marBottom w:val="0"/>
      <w:divBdr>
        <w:top w:val="none" w:sz="0" w:space="0" w:color="auto"/>
        <w:left w:val="none" w:sz="0" w:space="0" w:color="auto"/>
        <w:bottom w:val="none" w:sz="0" w:space="0" w:color="auto"/>
        <w:right w:val="none" w:sz="0" w:space="0" w:color="auto"/>
      </w:divBdr>
    </w:div>
    <w:div w:id="211871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rrill.balassone@jud.ca.gov"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F0DE6-6A70-4AD5-84F6-3048517C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Summary of Cases Accepted and Related Actions During Week of June 20, 2022</vt:lpstr>
    </vt:vector>
  </TitlesOfParts>
  <Company>Administrative Office of the Courts</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Cases Accepted and Related Actions During Week of June 20, 2022</dc:title>
  <dc:subject>Press Release</dc:subject>
  <dc:creator>Supreme Court of California</dc:creator>
  <cp:lastModifiedBy>Ho, Evelyn</cp:lastModifiedBy>
  <cp:revision>6</cp:revision>
  <cp:lastPrinted>2022-04-01T17:16:00Z</cp:lastPrinted>
  <dcterms:created xsi:type="dcterms:W3CDTF">2022-11-23T00:52:00Z</dcterms:created>
  <dcterms:modified xsi:type="dcterms:W3CDTF">2022-11-23T01:00:00Z</dcterms:modified>
</cp:coreProperties>
</file>